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F3DFD">
      <w:pPr>
        <w:spacing w:before="88" w:line="225" w:lineRule="auto"/>
        <w:jc w:val="center"/>
        <w:rPr>
          <w:rFonts w:ascii="黑体" w:hAnsi="黑体" w:eastAsia="黑体" w:cs="黑体"/>
          <w:sz w:val="43"/>
          <w:szCs w:val="43"/>
        </w:rPr>
      </w:pPr>
      <w:bookmarkStart w:id="0" w:name="_GoBack"/>
      <w:bookmarkEnd w:id="0"/>
      <w:r>
        <w:rPr>
          <w:rFonts w:ascii="黑体" w:hAnsi="黑体" w:eastAsia="黑体" w:cs="黑体"/>
          <w:spacing w:val="8"/>
          <w:sz w:val="43"/>
          <w:szCs w:val="43"/>
        </w:rPr>
        <w:t>人文学院研究生国家奖学金实施细则</w:t>
      </w:r>
    </w:p>
    <w:p w14:paraId="3A450F41">
      <w:pPr>
        <w:spacing w:line="247" w:lineRule="auto"/>
        <w:rPr>
          <w:rFonts w:ascii="Arial"/>
          <w:sz w:val="21"/>
        </w:rPr>
      </w:pPr>
    </w:p>
    <w:p w14:paraId="611930E0">
      <w:pPr>
        <w:spacing w:line="247" w:lineRule="auto"/>
        <w:rPr>
          <w:rFonts w:ascii="Arial"/>
          <w:sz w:val="21"/>
        </w:rPr>
      </w:pPr>
    </w:p>
    <w:p w14:paraId="406A1491">
      <w:pPr>
        <w:spacing w:line="247" w:lineRule="auto"/>
        <w:rPr>
          <w:rFonts w:ascii="Arial"/>
          <w:sz w:val="21"/>
        </w:rPr>
      </w:pPr>
    </w:p>
    <w:p w14:paraId="78E582DB">
      <w:pPr>
        <w:spacing w:line="247" w:lineRule="auto"/>
        <w:rPr>
          <w:rFonts w:ascii="Arial"/>
          <w:sz w:val="21"/>
        </w:rPr>
      </w:pPr>
    </w:p>
    <w:p w14:paraId="4EC7120F">
      <w:pPr>
        <w:spacing w:line="247" w:lineRule="auto"/>
        <w:rPr>
          <w:rFonts w:ascii="Arial"/>
          <w:sz w:val="21"/>
        </w:rPr>
      </w:pPr>
    </w:p>
    <w:p w14:paraId="0532187C">
      <w:pPr>
        <w:spacing w:before="100" w:line="227" w:lineRule="auto"/>
        <w:ind w:left="3422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第一章</w:t>
      </w:r>
      <w:r>
        <w:rPr>
          <w:rFonts w:ascii="黑体" w:hAnsi="黑体" w:eastAsia="黑体" w:cs="黑体"/>
          <w:spacing w:val="16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总</w:t>
      </w:r>
      <w:r>
        <w:rPr>
          <w:rFonts w:ascii="黑体" w:hAnsi="黑体" w:eastAsia="黑体" w:cs="黑体"/>
          <w:spacing w:val="13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则</w:t>
      </w:r>
    </w:p>
    <w:p w14:paraId="28BE147E">
      <w:pPr>
        <w:pStyle w:val="2"/>
        <w:spacing w:before="265" w:line="364" w:lineRule="auto"/>
        <w:ind w:left="1" w:firstLine="467"/>
      </w:pPr>
      <w:r>
        <w:rPr>
          <w:b/>
          <w:bCs/>
        </w:rPr>
        <w:t xml:space="preserve">第一条   </w:t>
      </w:r>
      <w:r>
        <w:t>为进一步激励研究生勤奋学习，努力进</w:t>
      </w:r>
      <w:r>
        <w:rPr>
          <w:spacing w:val="-1"/>
        </w:rPr>
        <w:t>取，促进研究生教育创新，提高人</w:t>
      </w:r>
      <w:r>
        <w:rPr>
          <w:spacing w:val="-15"/>
          <w:w w:val="99"/>
        </w:rPr>
        <w:t>才培养质量，根据财政部、教育部印发的《研究生国家奖学金管理暂行办法》（财教〔</w:t>
      </w:r>
      <w:r>
        <w:rPr>
          <w:rFonts w:ascii="Times New Roman" w:hAnsi="Times New Roman" w:eastAsia="Times New Roman" w:cs="Times New Roman"/>
          <w:spacing w:val="-15"/>
          <w:w w:val="99"/>
        </w:rPr>
        <w:t>2012</w:t>
      </w:r>
      <w:r>
        <w:rPr>
          <w:spacing w:val="-15"/>
          <w:w w:val="99"/>
        </w:rPr>
        <w:t>〕</w:t>
      </w:r>
      <w:r>
        <w:rPr>
          <w:spacing w:val="51"/>
          <w:w w:val="101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342 </w:t>
      </w:r>
      <w:r>
        <w:t>号）和《浙江工商大学研究生国家奖</w:t>
      </w:r>
      <w:r>
        <w:rPr>
          <w:spacing w:val="-1"/>
        </w:rPr>
        <w:t>学金评审办法（试行）》（浙商大研〔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2012</w:t>
      </w:r>
      <w:r>
        <w:rPr>
          <w:spacing w:val="-1"/>
        </w:rPr>
        <w:t>〕</w:t>
      </w:r>
      <w: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382 </w:t>
      </w:r>
      <w:r>
        <w:rPr>
          <w:spacing w:val="-3"/>
        </w:rPr>
        <w:t>号</w:t>
      </w:r>
      <w:r>
        <w:rPr>
          <w:spacing w:val="-11"/>
        </w:rPr>
        <w:t>）</w:t>
      </w:r>
      <w:r>
        <w:rPr>
          <w:spacing w:val="-34"/>
        </w:rPr>
        <w:t xml:space="preserve"> </w:t>
      </w:r>
      <w:r>
        <w:rPr>
          <w:spacing w:val="-11"/>
        </w:rPr>
        <w:t>，</w:t>
      </w:r>
      <w:r>
        <w:rPr>
          <w:spacing w:val="-3"/>
        </w:rPr>
        <w:t>结合我院实际</w:t>
      </w:r>
      <w:r>
        <w:rPr>
          <w:spacing w:val="-35"/>
        </w:rPr>
        <w:t xml:space="preserve"> </w:t>
      </w:r>
      <w:r>
        <w:rPr>
          <w:spacing w:val="-3"/>
        </w:rPr>
        <w:t>，特制定本细则。</w:t>
      </w:r>
    </w:p>
    <w:p w14:paraId="3C3D3B78">
      <w:pPr>
        <w:pStyle w:val="2"/>
        <w:spacing w:before="2" w:line="363" w:lineRule="auto"/>
        <w:ind w:left="1" w:right="79" w:firstLine="475"/>
      </w:pPr>
      <w:r>
        <w:rPr>
          <w:b/>
          <w:bCs/>
        </w:rPr>
        <w:t>第二条</w:t>
      </w:r>
      <w:r>
        <w:rPr>
          <w:b/>
          <w:bCs/>
          <w:spacing w:val="82"/>
        </w:rPr>
        <w:t xml:space="preserve"> </w:t>
      </w:r>
      <w:r>
        <w:t>国家奖学金的设立旨在发展中国特色研究生教育</w:t>
      </w:r>
      <w:r>
        <w:rPr>
          <w:spacing w:val="-33"/>
        </w:rPr>
        <w:t xml:space="preserve"> </w:t>
      </w:r>
      <w:r>
        <w:t>，促进研究生教育机制改</w:t>
      </w:r>
      <w:r>
        <w:rPr>
          <w:spacing w:val="-4"/>
        </w:rPr>
        <w:t>革</w:t>
      </w:r>
      <w:r>
        <w:rPr>
          <w:spacing w:val="-30"/>
        </w:rPr>
        <w:t xml:space="preserve"> </w:t>
      </w:r>
      <w:r>
        <w:rPr>
          <w:spacing w:val="-4"/>
        </w:rPr>
        <w:t>，提高研究生培养质量。</w:t>
      </w:r>
    </w:p>
    <w:p w14:paraId="6FE9D96A">
      <w:pPr>
        <w:pStyle w:val="2"/>
        <w:spacing w:before="3" w:line="373" w:lineRule="auto"/>
        <w:ind w:left="2" w:right="153" w:firstLine="475"/>
      </w:pPr>
      <w:r>
        <w:rPr>
          <w:b/>
          <w:bCs/>
          <w:spacing w:val="-1"/>
        </w:rPr>
        <w:t>第三条</w:t>
      </w:r>
      <w:r>
        <w:rPr>
          <w:b/>
          <w:bCs/>
          <w:spacing w:val="52"/>
        </w:rPr>
        <w:t xml:space="preserve"> </w:t>
      </w:r>
      <w:r>
        <w:rPr>
          <w:spacing w:val="-1"/>
        </w:rPr>
        <w:t>研究生国家奖学金由中央财政出资设立</w:t>
      </w:r>
      <w:r>
        <w:rPr>
          <w:spacing w:val="-35"/>
        </w:rPr>
        <w:t xml:space="preserve"> </w:t>
      </w:r>
      <w:r>
        <w:rPr>
          <w:spacing w:val="-1"/>
        </w:rPr>
        <w:t>，用于奖励普通高</w:t>
      </w:r>
      <w:r>
        <w:rPr>
          <w:spacing w:val="-2"/>
        </w:rPr>
        <w:t>等学校中表现优</w:t>
      </w:r>
      <w:r>
        <w:rPr>
          <w:spacing w:val="-1"/>
        </w:rPr>
        <w:t>异的全日制研究生。</w:t>
      </w:r>
    </w:p>
    <w:p w14:paraId="57768F5F">
      <w:pPr>
        <w:spacing w:line="461" w:lineRule="auto"/>
        <w:rPr>
          <w:rFonts w:ascii="Arial"/>
          <w:sz w:val="21"/>
        </w:rPr>
      </w:pPr>
    </w:p>
    <w:p w14:paraId="0B390CC0">
      <w:pPr>
        <w:spacing w:before="101" w:line="226" w:lineRule="auto"/>
        <w:ind w:left="2296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第二章</w:t>
      </w:r>
      <w:r>
        <w:rPr>
          <w:rFonts w:ascii="黑体" w:hAnsi="黑体" w:eastAsia="黑体" w:cs="黑体"/>
          <w:spacing w:val="6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奖学金奖励标准与申报条件</w:t>
      </w:r>
    </w:p>
    <w:p w14:paraId="77C54D06">
      <w:pPr>
        <w:pStyle w:val="2"/>
        <w:spacing w:before="269" w:line="184" w:lineRule="auto"/>
        <w:ind w:left="477"/>
      </w:pPr>
      <w:r>
        <w:rPr>
          <w:b/>
          <w:bCs/>
          <w:spacing w:val="-1"/>
        </w:rPr>
        <w:t>第四条</w:t>
      </w:r>
      <w:r>
        <w:rPr>
          <w:b/>
          <w:bCs/>
          <w:spacing w:val="66"/>
        </w:rPr>
        <w:t xml:space="preserve"> </w:t>
      </w:r>
      <w:r>
        <w:rPr>
          <w:spacing w:val="-1"/>
        </w:rPr>
        <w:t xml:space="preserve">硕士研究生国家奖学金奖励标准为每生每年 </w:t>
      </w:r>
      <w:r>
        <w:rPr>
          <w:rFonts w:ascii="Times New Roman" w:hAnsi="Times New Roman" w:eastAsia="Times New Roman" w:cs="Times New Roman"/>
          <w:spacing w:val="-1"/>
        </w:rPr>
        <w:t xml:space="preserve">2 </w:t>
      </w:r>
      <w:r>
        <w:rPr>
          <w:spacing w:val="-1"/>
        </w:rPr>
        <w:t>万元人民币。</w:t>
      </w:r>
    </w:p>
    <w:p w14:paraId="65CF252B">
      <w:pPr>
        <w:pStyle w:val="2"/>
        <w:spacing w:before="308" w:line="184" w:lineRule="auto"/>
        <w:ind w:left="477"/>
        <w:outlineLvl w:val="1"/>
      </w:pPr>
      <w:r>
        <w:rPr>
          <w:b/>
          <w:bCs/>
          <w:spacing w:val="-1"/>
        </w:rPr>
        <w:t>第五条</w:t>
      </w:r>
      <w:r>
        <w:rPr>
          <w:b/>
          <w:bCs/>
          <w:spacing w:val="64"/>
        </w:rPr>
        <w:t xml:space="preserve"> </w:t>
      </w:r>
      <w:r>
        <w:rPr>
          <w:spacing w:val="-1"/>
        </w:rPr>
        <w:t>研究生国家奖学金基本申请条件：</w:t>
      </w:r>
    </w:p>
    <w:p w14:paraId="1D0AFF17">
      <w:pPr>
        <w:pStyle w:val="2"/>
        <w:spacing w:before="265" w:line="221" w:lineRule="auto"/>
        <w:ind w:left="518"/>
      </w:pPr>
      <w:r>
        <w:rPr>
          <w:spacing w:val="-4"/>
        </w:rPr>
        <w:t>（一）热爱社会主义祖国</w:t>
      </w:r>
      <w:r>
        <w:rPr>
          <w:spacing w:val="-22"/>
        </w:rPr>
        <w:t xml:space="preserve"> </w:t>
      </w:r>
      <w:r>
        <w:rPr>
          <w:spacing w:val="-4"/>
        </w:rPr>
        <w:t>，</w:t>
      </w:r>
      <w:r>
        <w:rPr>
          <w:rFonts w:hint="eastAsia"/>
          <w:spacing w:val="-4"/>
          <w:lang w:eastAsia="zh-CN"/>
        </w:rPr>
        <w:t>拥护中国共产党领导</w:t>
      </w:r>
      <w:r>
        <w:rPr>
          <w:spacing w:val="-4"/>
        </w:rPr>
        <w:t>；</w:t>
      </w:r>
    </w:p>
    <w:p w14:paraId="1D487BA0">
      <w:pPr>
        <w:pStyle w:val="2"/>
        <w:spacing w:before="245" w:line="221" w:lineRule="auto"/>
        <w:ind w:left="518"/>
      </w:pPr>
      <w:r>
        <w:rPr>
          <w:spacing w:val="-4"/>
        </w:rPr>
        <w:t>（二）遵守宪法和法律</w:t>
      </w:r>
      <w:r>
        <w:rPr>
          <w:spacing w:val="-34"/>
        </w:rPr>
        <w:t xml:space="preserve"> </w:t>
      </w:r>
      <w:r>
        <w:rPr>
          <w:spacing w:val="-4"/>
        </w:rPr>
        <w:t>，遵守学校规章制度；</w:t>
      </w:r>
    </w:p>
    <w:p w14:paraId="5D15DF89">
      <w:pPr>
        <w:pStyle w:val="2"/>
        <w:spacing w:before="245" w:line="221" w:lineRule="auto"/>
        <w:ind w:left="518"/>
      </w:pPr>
      <w:r>
        <w:rPr>
          <w:spacing w:val="-6"/>
        </w:rPr>
        <w:t>（三）诚实守信</w:t>
      </w:r>
      <w:r>
        <w:rPr>
          <w:spacing w:val="-24"/>
        </w:rPr>
        <w:t xml:space="preserve"> </w:t>
      </w:r>
      <w:r>
        <w:rPr>
          <w:spacing w:val="-6"/>
        </w:rPr>
        <w:t>，道德品质优良；</w:t>
      </w:r>
    </w:p>
    <w:p w14:paraId="05AE9373">
      <w:pPr>
        <w:pStyle w:val="2"/>
        <w:spacing w:before="245" w:line="221" w:lineRule="auto"/>
        <w:ind w:left="518"/>
      </w:pPr>
      <w:r>
        <w:rPr>
          <w:spacing w:val="-5"/>
        </w:rPr>
        <w:t>（四）学习成绩优异</w:t>
      </w:r>
      <w:r>
        <w:rPr>
          <w:spacing w:val="-30"/>
        </w:rPr>
        <w:t xml:space="preserve"> </w:t>
      </w:r>
      <w:r>
        <w:rPr>
          <w:spacing w:val="-5"/>
        </w:rPr>
        <w:t>，科研能力显著</w:t>
      </w:r>
      <w:r>
        <w:rPr>
          <w:spacing w:val="-35"/>
        </w:rPr>
        <w:t xml:space="preserve"> </w:t>
      </w:r>
      <w:r>
        <w:rPr>
          <w:spacing w:val="-5"/>
        </w:rPr>
        <w:t>，发展潜力突出；</w:t>
      </w:r>
    </w:p>
    <w:p w14:paraId="5200C6C8">
      <w:pPr>
        <w:pStyle w:val="2"/>
        <w:spacing w:before="244" w:line="361" w:lineRule="auto"/>
        <w:ind w:right="81" w:firstLine="518"/>
      </w:pPr>
      <w:r>
        <w:rPr>
          <w:spacing w:val="-3"/>
        </w:rPr>
        <w:t>（五）录取类别为非定向、自筹且人事档案在校、全脱产学习的博士研究生和硕士</w:t>
      </w:r>
      <w:r>
        <w:rPr>
          <w:spacing w:val="-1"/>
        </w:rPr>
        <w:t>研究生。</w:t>
      </w:r>
    </w:p>
    <w:p w14:paraId="068DA4C1">
      <w:pPr>
        <w:spacing w:line="361" w:lineRule="auto"/>
        <w:sectPr>
          <w:footerReference r:id="rId5" w:type="default"/>
          <w:pgSz w:w="11906" w:h="16839"/>
          <w:pgMar w:top="1303" w:right="1336" w:bottom="1110" w:left="1419" w:header="0" w:footer="836" w:gutter="0"/>
          <w:cols w:space="720" w:num="1"/>
        </w:sectPr>
      </w:pPr>
    </w:p>
    <w:p w14:paraId="44EFF42A">
      <w:pPr>
        <w:pStyle w:val="2"/>
        <w:spacing w:before="120" w:line="221" w:lineRule="auto"/>
        <w:ind w:left="564"/>
      </w:pPr>
      <w:r>
        <w:rPr>
          <w:spacing w:val="-2"/>
        </w:rPr>
        <w:t xml:space="preserve">（六）测评年度学业成绩加权平均分在 </w:t>
      </w:r>
      <w:r>
        <w:rPr>
          <w:rFonts w:ascii="Times New Roman" w:hAnsi="Times New Roman" w:eastAsia="Times New Roman" w:cs="Times New Roman"/>
          <w:spacing w:val="-2"/>
        </w:rPr>
        <w:t xml:space="preserve">80 </w:t>
      </w:r>
      <w:r>
        <w:rPr>
          <w:spacing w:val="-2"/>
        </w:rPr>
        <w:t>分及以</w:t>
      </w:r>
      <w:r>
        <w:rPr>
          <w:spacing w:val="-3"/>
        </w:rPr>
        <w:t>上。</w:t>
      </w:r>
    </w:p>
    <w:p w14:paraId="3C77CE13">
      <w:pPr>
        <w:pStyle w:val="2"/>
        <w:spacing w:before="288" w:line="351" w:lineRule="auto"/>
        <w:ind w:left="46" w:right="67" w:firstLine="477"/>
      </w:pPr>
      <w:r>
        <w:rPr>
          <w:b/>
          <w:bCs/>
        </w:rPr>
        <w:t>第六条</w:t>
      </w:r>
      <w:r>
        <w:rPr>
          <w:b/>
          <w:bCs/>
          <w:spacing w:val="56"/>
        </w:rPr>
        <w:t xml:space="preserve"> </w:t>
      </w:r>
      <w:r>
        <w:t>研究生国家奖学金申请者</w:t>
      </w:r>
      <w:r>
        <w:rPr>
          <w:spacing w:val="-32"/>
        </w:rPr>
        <w:t xml:space="preserve"> </w:t>
      </w:r>
      <w:r>
        <w:t>，除满足基本申请</w:t>
      </w:r>
      <w:r>
        <w:rPr>
          <w:spacing w:val="-1"/>
        </w:rPr>
        <w:t>条件外</w:t>
      </w:r>
      <w:r>
        <w:rPr>
          <w:spacing w:val="-35"/>
        </w:rPr>
        <w:t xml:space="preserve"> </w:t>
      </w:r>
      <w:r>
        <w:rPr>
          <w:spacing w:val="-1"/>
        </w:rPr>
        <w:t>，在人文学院读研期间须至少满足以下条件中的一项：</w:t>
      </w:r>
    </w:p>
    <w:p w14:paraId="6394042C">
      <w:pPr>
        <w:pStyle w:val="2"/>
        <w:spacing w:before="4" w:line="357" w:lineRule="auto"/>
        <w:ind w:left="44" w:right="67" w:firstLine="519"/>
      </w:pPr>
      <w:r>
        <w:rPr>
          <w:spacing w:val="-3"/>
        </w:rPr>
        <w:t>（一）以第一作者身份（指导教师为第一作者、研究生为第二作者的视同研究生是</w:t>
      </w:r>
      <w:r>
        <w:t>第一作者）公开发表学术论文至少</w:t>
      </w:r>
      <w:r>
        <w:rPr>
          <w:spacing w:val="35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1 </w:t>
      </w:r>
      <w:r>
        <w:t>篇。如系</w:t>
      </w:r>
      <w:r>
        <w:rPr>
          <w:rFonts w:ascii="Times New Roman" w:hAnsi="Times New Roman" w:eastAsia="Times New Roman" w:cs="Times New Roman"/>
        </w:rPr>
        <w:t>“</w:t>
      </w:r>
      <w:r>
        <w:t>普通期刊</w:t>
      </w:r>
      <w:r>
        <w:rPr>
          <w:rFonts w:ascii="Times New Roman" w:hAnsi="Times New Roman" w:eastAsia="Times New Roman" w:cs="Times New Roman"/>
        </w:rPr>
        <w:t>”</w:t>
      </w:r>
      <w:r>
        <w:t>刊发</w:t>
      </w:r>
      <w:r>
        <w:rPr>
          <w:spacing w:val="-32"/>
        </w:rPr>
        <w:t xml:space="preserve"> </w:t>
      </w:r>
      <w:r>
        <w:t xml:space="preserve">，论文字数需在 </w:t>
      </w:r>
      <w:r>
        <w:rPr>
          <w:rFonts w:ascii="Times New Roman" w:hAnsi="Times New Roman" w:eastAsia="Times New Roman" w:cs="Times New Roman"/>
        </w:rPr>
        <w:t xml:space="preserve">5000 </w:t>
      </w:r>
      <w:r>
        <w:t>字</w:t>
      </w:r>
      <w:r>
        <w:rPr>
          <w:spacing w:val="-4"/>
        </w:rPr>
        <w:t>以上</w:t>
      </w:r>
      <w:r>
        <w:rPr>
          <w:spacing w:val="-31"/>
        </w:rPr>
        <w:t xml:space="preserve"> </w:t>
      </w:r>
      <w:r>
        <w:rPr>
          <w:spacing w:val="-4"/>
        </w:rPr>
        <w:t>，且</w:t>
      </w:r>
      <w:r>
        <w:rPr>
          <w:rFonts w:ascii="Times New Roman" w:hAnsi="Times New Roman" w:eastAsia="Times New Roman" w:cs="Times New Roman"/>
          <w:spacing w:val="-4"/>
        </w:rPr>
        <w:t>“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-4"/>
        </w:rPr>
        <w:t>中国知网</w:t>
      </w:r>
      <w:r>
        <w:rPr>
          <w:rFonts w:ascii="Times New Roman" w:hAnsi="Times New Roman" w:eastAsia="Times New Roman" w:cs="Times New Roman"/>
          <w:spacing w:val="-4"/>
        </w:rPr>
        <w:t>”</w:t>
      </w:r>
      <w:r>
        <w:rPr>
          <w:spacing w:val="-4"/>
        </w:rPr>
        <w:t>平台可检索。</w:t>
      </w:r>
    </w:p>
    <w:p w14:paraId="2B0DAF72">
      <w:pPr>
        <w:pStyle w:val="2"/>
        <w:spacing w:before="29" w:line="364" w:lineRule="auto"/>
        <w:ind w:left="46" w:right="67" w:firstLine="518"/>
      </w:pPr>
      <w:r>
        <w:rPr>
          <w:spacing w:val="-4"/>
        </w:rPr>
        <w:t xml:space="preserve">（二）在研究生 </w:t>
      </w:r>
      <w:r>
        <w:rPr>
          <w:rFonts w:ascii="Times New Roman" w:hAnsi="Times New Roman" w:eastAsia="Times New Roman" w:cs="Times New Roman"/>
          <w:spacing w:val="-4"/>
        </w:rPr>
        <w:t xml:space="preserve">A </w:t>
      </w:r>
      <w:r>
        <w:rPr>
          <w:spacing w:val="-4"/>
        </w:rPr>
        <w:t>类（即中国研究生创新实践系列大赛所设的各项竞赛）和</w:t>
      </w:r>
      <w:r>
        <w:rPr>
          <w:spacing w:val="-5"/>
        </w:rPr>
        <w:t>“挑战</w:t>
      </w:r>
      <w:r>
        <w:t>杯”系列竞赛中获得省级三等奖及以上（团队项目限排名前三）。</w:t>
      </w:r>
    </w:p>
    <w:p w14:paraId="72D4CBC1">
      <w:pPr>
        <w:pStyle w:val="2"/>
        <w:spacing w:before="1" w:line="220" w:lineRule="auto"/>
        <w:ind w:left="564"/>
      </w:pPr>
      <w:r>
        <w:rPr>
          <w:spacing w:val="-2"/>
        </w:rPr>
        <w:t>（三）作为主要参与者获得省级及以上课题立项并达结题要求。</w:t>
      </w:r>
    </w:p>
    <w:p w14:paraId="0EFA0972">
      <w:pPr>
        <w:pStyle w:val="2"/>
        <w:spacing w:before="245" w:line="221" w:lineRule="auto"/>
        <w:ind w:left="564"/>
      </w:pPr>
      <w:r>
        <w:rPr>
          <w:spacing w:val="-3"/>
        </w:rPr>
        <w:t>（四）担任校、院兼职团委副书记。</w:t>
      </w:r>
    </w:p>
    <w:p w14:paraId="75399702">
      <w:pPr>
        <w:pStyle w:val="2"/>
        <w:spacing w:before="243" w:line="361" w:lineRule="auto"/>
        <w:ind w:firstLine="564"/>
      </w:pPr>
      <w:r>
        <w:rPr>
          <w:spacing w:val="-5"/>
        </w:rPr>
        <w:t>（五）获校级及以上</w:t>
      </w:r>
      <w:r>
        <w:rPr>
          <w:rFonts w:hint="default"/>
          <w:spacing w:val="-5"/>
          <w:lang w:val="en-US" w:eastAsia="zh-CN"/>
        </w:rPr>
        <w:t>”</w:t>
      </w:r>
      <w:r>
        <w:rPr>
          <w:spacing w:val="-5"/>
        </w:rPr>
        <w:t>研究生党员标兵</w:t>
      </w:r>
      <w:r>
        <w:rPr>
          <w:rFonts w:hint="default"/>
          <w:spacing w:val="-5"/>
          <w:lang w:val="en-US" w:eastAsia="zh-CN"/>
        </w:rPr>
        <w:t>”</w:t>
      </w:r>
      <w:r>
        <w:rPr>
          <w:rFonts w:hint="eastAsia"/>
          <w:spacing w:val="-5"/>
          <w:lang w:val="en-US" w:eastAsia="zh-CN"/>
        </w:rPr>
        <w:t>、</w:t>
      </w:r>
      <w:r>
        <w:rPr>
          <w:rFonts w:hint="eastAsia"/>
          <w:spacing w:val="-5"/>
          <w:lang w:eastAsia="zh-CN"/>
        </w:rPr>
        <w:t>“</w:t>
      </w:r>
      <w:r>
        <w:rPr>
          <w:spacing w:val="-5"/>
        </w:rPr>
        <w:t>优秀共产党员</w:t>
      </w:r>
      <w:r>
        <w:rPr>
          <w:rFonts w:hint="eastAsia"/>
          <w:spacing w:val="-5"/>
          <w:lang w:eastAsia="zh-CN"/>
        </w:rPr>
        <w:t>”、“</w:t>
      </w:r>
      <w:r>
        <w:rPr>
          <w:spacing w:val="-5"/>
        </w:rPr>
        <w:t>研究生创新实践之星</w:t>
      </w:r>
      <w:r>
        <w:rPr>
          <w:rFonts w:hint="default"/>
          <w:spacing w:val="-5"/>
          <w:lang w:val="en-US" w:eastAsia="zh-CN"/>
        </w:rPr>
        <w:t>”</w:t>
      </w:r>
      <w:r>
        <w:rPr>
          <w:rFonts w:hint="eastAsia"/>
          <w:spacing w:val="-5"/>
          <w:lang w:val="en-US" w:eastAsia="zh-CN"/>
        </w:rPr>
        <w:t>、</w:t>
      </w:r>
      <w:r>
        <w:rPr>
          <w:rFonts w:hint="default"/>
          <w:spacing w:val="-5"/>
          <w:lang w:val="en-US" w:eastAsia="zh-CN"/>
        </w:rPr>
        <w:t>”</w:t>
      </w:r>
      <w:r>
        <w:rPr>
          <w:spacing w:val="3"/>
        </w:rPr>
        <w:t>十佳大学生</w:t>
      </w:r>
      <w:r>
        <w:rPr>
          <w:rFonts w:hint="default"/>
          <w:spacing w:val="3"/>
          <w:lang w:val="en-US" w:eastAsia="zh-CN"/>
        </w:rPr>
        <w:t>”</w:t>
      </w:r>
      <w:r>
        <w:rPr>
          <w:spacing w:val="3"/>
        </w:rPr>
        <w:t>荣誉之一。</w:t>
      </w:r>
    </w:p>
    <w:p w14:paraId="63D0108B">
      <w:pPr>
        <w:pStyle w:val="2"/>
        <w:spacing w:before="54" w:line="184" w:lineRule="auto"/>
        <w:ind w:left="524"/>
        <w:outlineLvl w:val="1"/>
      </w:pPr>
      <w:r>
        <w:rPr>
          <w:b/>
          <w:bCs/>
          <w:spacing w:val="-2"/>
        </w:rPr>
        <w:t>第七条</w:t>
      </w:r>
      <w:r>
        <w:rPr>
          <w:b/>
          <w:bCs/>
          <w:spacing w:val="70"/>
        </w:rPr>
        <w:t xml:space="preserve"> </w:t>
      </w:r>
      <w:r>
        <w:rPr>
          <w:spacing w:val="-2"/>
        </w:rPr>
        <w:t>凡本年度有下列情形之一的</w:t>
      </w:r>
      <w:r>
        <w:rPr>
          <w:spacing w:val="-35"/>
        </w:rPr>
        <w:t xml:space="preserve"> </w:t>
      </w:r>
      <w:r>
        <w:rPr>
          <w:spacing w:val="-2"/>
        </w:rPr>
        <w:t>，无资格参评研究生国家奖学金：</w:t>
      </w:r>
    </w:p>
    <w:p w14:paraId="1702176F">
      <w:pPr>
        <w:pStyle w:val="2"/>
        <w:spacing w:before="265" w:line="221" w:lineRule="auto"/>
        <w:ind w:left="564"/>
      </w:pPr>
      <w:r>
        <w:rPr>
          <w:spacing w:val="-3"/>
        </w:rPr>
        <w:t>（一）违反校纪校规受到各类处分者；</w:t>
      </w:r>
    </w:p>
    <w:p w14:paraId="0CD26C50">
      <w:pPr>
        <w:pStyle w:val="2"/>
        <w:spacing w:before="245" w:line="221" w:lineRule="auto"/>
        <w:ind w:left="564"/>
      </w:pPr>
      <w:r>
        <w:rPr>
          <w:spacing w:val="-3"/>
        </w:rPr>
        <w:t>（二）所修课程成绩有不合格者；</w:t>
      </w:r>
    </w:p>
    <w:p w14:paraId="47160957">
      <w:pPr>
        <w:pStyle w:val="2"/>
        <w:spacing w:before="245" w:line="221" w:lineRule="auto"/>
        <w:ind w:left="564"/>
      </w:pPr>
      <w:r>
        <w:rPr>
          <w:spacing w:val="-4"/>
        </w:rPr>
        <w:t>（三）学术行为不端者；</w:t>
      </w:r>
    </w:p>
    <w:p w14:paraId="2586E124">
      <w:pPr>
        <w:pStyle w:val="2"/>
        <w:spacing w:before="245" w:line="215" w:lineRule="auto"/>
        <w:ind w:left="564"/>
      </w:pPr>
      <w:r>
        <w:rPr>
          <w:spacing w:val="-3"/>
        </w:rPr>
        <w:t>（四）延期毕业者</w:t>
      </w:r>
      <w:r>
        <w:rPr>
          <w:rFonts w:hint="eastAsia"/>
          <w:spacing w:val="-3"/>
          <w:lang w:eastAsia="zh-CN"/>
        </w:rPr>
        <w:t>（</w:t>
      </w:r>
      <w:r>
        <w:rPr>
          <w:spacing w:val="-3"/>
        </w:rPr>
        <w:t>因学校原因除外</w:t>
      </w:r>
      <w:r>
        <w:rPr>
          <w:rFonts w:hint="eastAsia"/>
          <w:spacing w:val="-3"/>
          <w:lang w:eastAsia="zh-CN"/>
        </w:rPr>
        <w:t>）</w:t>
      </w:r>
      <w:r>
        <w:rPr>
          <w:spacing w:val="-3"/>
        </w:rPr>
        <w:t>；</w:t>
      </w:r>
    </w:p>
    <w:p w14:paraId="08C9A3E2">
      <w:pPr>
        <w:pStyle w:val="2"/>
        <w:spacing w:before="254" w:line="221" w:lineRule="auto"/>
        <w:ind w:left="564"/>
      </w:pPr>
      <w:r>
        <w:rPr>
          <w:spacing w:val="-5"/>
        </w:rPr>
        <w:t>（五）本年度休学者。</w:t>
      </w:r>
    </w:p>
    <w:p w14:paraId="4F5B8807">
      <w:pPr>
        <w:spacing w:line="260" w:lineRule="auto"/>
        <w:rPr>
          <w:rFonts w:ascii="Arial"/>
          <w:sz w:val="21"/>
        </w:rPr>
      </w:pPr>
    </w:p>
    <w:p w14:paraId="7B1262ED">
      <w:pPr>
        <w:spacing w:line="260" w:lineRule="auto"/>
        <w:rPr>
          <w:rFonts w:ascii="Arial"/>
          <w:sz w:val="21"/>
        </w:rPr>
      </w:pPr>
    </w:p>
    <w:p w14:paraId="2307C348">
      <w:pPr>
        <w:spacing w:line="261" w:lineRule="auto"/>
        <w:rPr>
          <w:rFonts w:ascii="Arial"/>
          <w:sz w:val="21"/>
        </w:rPr>
      </w:pPr>
    </w:p>
    <w:p w14:paraId="29C8ADF5">
      <w:pPr>
        <w:spacing w:before="102" w:line="226" w:lineRule="auto"/>
        <w:ind w:left="2021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第三章</w:t>
      </w:r>
      <w:r>
        <w:rPr>
          <w:rFonts w:ascii="黑体" w:hAnsi="黑体" w:eastAsia="黑体" w:cs="黑体"/>
          <w:spacing w:val="6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奖学金评价指标体系与评价标准</w:t>
      </w:r>
    </w:p>
    <w:p w14:paraId="1E5CC2B5">
      <w:pPr>
        <w:pStyle w:val="2"/>
        <w:spacing w:before="269" w:line="184" w:lineRule="auto"/>
        <w:ind w:left="524"/>
        <w:outlineLvl w:val="1"/>
      </w:pPr>
      <w:r>
        <w:rPr>
          <w:b/>
          <w:bCs/>
          <w:spacing w:val="1"/>
        </w:rPr>
        <w:t xml:space="preserve">第八条   </w:t>
      </w:r>
      <w:r>
        <w:rPr>
          <w:spacing w:val="1"/>
        </w:rPr>
        <w:t>研究生国家奖学金参评学年为上级文件</w:t>
      </w:r>
      <w:r>
        <w:t>规定日期。</w:t>
      </w:r>
    </w:p>
    <w:p w14:paraId="323F5481">
      <w:pPr>
        <w:pStyle w:val="2"/>
        <w:spacing w:before="265" w:line="221" w:lineRule="auto"/>
        <w:jc w:val="right"/>
      </w:pPr>
      <w:r>
        <w:rPr>
          <w:spacing w:val="-7"/>
        </w:rPr>
        <w:t>（一）已获得过研究生国家奖学金者，凡在上一年度申报截止时间之前取得</w:t>
      </w:r>
      <w:r>
        <w:rPr>
          <w:spacing w:val="-8"/>
        </w:rPr>
        <w:t>的成果，</w:t>
      </w:r>
    </w:p>
    <w:p w14:paraId="04D8AACD">
      <w:pPr>
        <w:spacing w:line="221" w:lineRule="auto"/>
        <w:sectPr>
          <w:footerReference r:id="rId6" w:type="default"/>
          <w:pgSz w:w="11906" w:h="16839"/>
          <w:pgMar w:top="1431" w:right="1350" w:bottom="1110" w:left="1372" w:header="0" w:footer="836" w:gutter="0"/>
          <w:cols w:space="720" w:num="1"/>
        </w:sectPr>
      </w:pPr>
    </w:p>
    <w:p w14:paraId="5A2A3E8D">
      <w:pPr>
        <w:pStyle w:val="2"/>
        <w:spacing w:before="164" w:line="184" w:lineRule="auto"/>
      </w:pPr>
      <w:r>
        <w:rPr>
          <w:spacing w:val="-2"/>
        </w:rPr>
        <w:t>不得再用于本次申报；用于再次申报的成果</w:t>
      </w:r>
      <w:r>
        <w:rPr>
          <w:spacing w:val="-34"/>
        </w:rPr>
        <w:t xml:space="preserve"> </w:t>
      </w:r>
      <w:r>
        <w:rPr>
          <w:spacing w:val="-2"/>
        </w:rPr>
        <w:t>，截止</w:t>
      </w:r>
      <w:r>
        <w:rPr>
          <w:spacing w:val="-3"/>
        </w:rPr>
        <w:t xml:space="preserve">时间原则上为当年度 </w:t>
      </w:r>
      <w:r>
        <w:rPr>
          <w:rFonts w:ascii="Times New Roman" w:hAnsi="Times New Roman" w:eastAsia="Times New Roman" w:cs="Times New Roman"/>
          <w:spacing w:val="-3"/>
        </w:rPr>
        <w:t xml:space="preserve">9 </w:t>
      </w:r>
      <w:r>
        <w:rPr>
          <w:spacing w:val="-3"/>
        </w:rPr>
        <w:t xml:space="preserve">月 </w:t>
      </w:r>
      <w:r>
        <w:rPr>
          <w:rFonts w:ascii="Times New Roman" w:hAnsi="Times New Roman" w:eastAsia="Times New Roman" w:cs="Times New Roman"/>
          <w:spacing w:val="-3"/>
        </w:rPr>
        <w:t>30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3"/>
        </w:rPr>
        <w:t>日。</w:t>
      </w:r>
    </w:p>
    <w:p w14:paraId="3E40F15F">
      <w:pPr>
        <w:pStyle w:val="2"/>
        <w:spacing w:before="265" w:line="361" w:lineRule="auto"/>
        <w:ind w:left="6" w:firstLine="513"/>
      </w:pPr>
      <w:r>
        <w:rPr>
          <w:spacing w:val="-4"/>
        </w:rPr>
        <w:t>（二）未获得过研究生国家奖学金者</w:t>
      </w:r>
      <w:r>
        <w:rPr>
          <w:spacing w:val="-18"/>
        </w:rPr>
        <w:t xml:space="preserve"> </w:t>
      </w:r>
      <w:r>
        <w:rPr>
          <w:spacing w:val="-4"/>
        </w:rPr>
        <w:t>，申报成果不受参评年度限制，成果起算时间为研究生入学后</w:t>
      </w:r>
      <w:r>
        <w:rPr>
          <w:spacing w:val="-19"/>
        </w:rPr>
        <w:t xml:space="preserve"> </w:t>
      </w:r>
      <w:r>
        <w:rPr>
          <w:spacing w:val="-4"/>
        </w:rPr>
        <w:t xml:space="preserve">，成果截止时间原则上为当年度 </w:t>
      </w:r>
      <w:r>
        <w:rPr>
          <w:rFonts w:ascii="Times New Roman" w:hAnsi="Times New Roman" w:eastAsia="Times New Roman" w:cs="Times New Roman"/>
          <w:spacing w:val="-4"/>
        </w:rPr>
        <w:t xml:space="preserve">9 </w:t>
      </w:r>
      <w:r>
        <w:rPr>
          <w:spacing w:val="-4"/>
        </w:rPr>
        <w:t xml:space="preserve">月 </w:t>
      </w:r>
      <w:r>
        <w:rPr>
          <w:rFonts w:ascii="Times New Roman" w:hAnsi="Times New Roman" w:eastAsia="Times New Roman" w:cs="Times New Roman"/>
          <w:spacing w:val="-4"/>
        </w:rPr>
        <w:t>30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4"/>
        </w:rPr>
        <w:t>日。</w:t>
      </w:r>
    </w:p>
    <w:p w14:paraId="0009B091">
      <w:pPr>
        <w:pStyle w:val="2"/>
        <w:spacing w:before="51" w:line="184" w:lineRule="auto"/>
        <w:ind w:left="479"/>
        <w:outlineLvl w:val="1"/>
      </w:pPr>
      <w:r>
        <w:rPr>
          <w:b/>
          <w:bCs/>
          <w:spacing w:val="1"/>
        </w:rPr>
        <w:t xml:space="preserve">第九条   </w:t>
      </w:r>
      <w:r>
        <w:rPr>
          <w:spacing w:val="1"/>
        </w:rPr>
        <w:t>人文学院研究生国家奖学金评比</w:t>
      </w:r>
      <w:r>
        <w:t>指标体系按以下公式进行计分：</w:t>
      </w:r>
    </w:p>
    <w:p w14:paraId="236B2DB2">
      <w:pPr>
        <w:pStyle w:val="2"/>
        <w:spacing w:before="265" w:line="356" w:lineRule="auto"/>
        <w:ind w:left="18" w:firstLine="704"/>
      </w:pPr>
      <w:r>
        <w:rPr>
          <w:spacing w:val="15"/>
        </w:rPr>
        <w:t>综合成绩</w:t>
      </w:r>
      <w:r>
        <w:rPr>
          <w:rFonts w:ascii="Times New Roman" w:hAnsi="Times New Roman" w:eastAsia="Times New Roman" w:cs="Times New Roman"/>
          <w:spacing w:val="15"/>
        </w:rPr>
        <w:t>=</w:t>
      </w:r>
      <w:r>
        <w:rPr>
          <w:spacing w:val="15"/>
        </w:rPr>
        <w:t>班级评议</w:t>
      </w:r>
      <w:r>
        <w:rPr>
          <w:rFonts w:ascii="Times New Roman" w:hAnsi="Times New Roman" w:eastAsia="Times New Roman" w:cs="Times New Roman"/>
          <w:spacing w:val="15"/>
        </w:rPr>
        <w:t>×5%+</w:t>
      </w:r>
      <w:r>
        <w:rPr>
          <w:spacing w:val="15"/>
        </w:rPr>
        <w:t>辅导员评议</w:t>
      </w:r>
      <w:r>
        <w:rPr>
          <w:rFonts w:ascii="Times New Roman" w:hAnsi="Times New Roman" w:eastAsia="Times New Roman" w:cs="Times New Roman"/>
          <w:spacing w:val="15"/>
        </w:rPr>
        <w:t>×5%+</w:t>
      </w:r>
      <w:r>
        <w:rPr>
          <w:spacing w:val="15"/>
        </w:rPr>
        <w:t>导师评议</w:t>
      </w:r>
      <w:r>
        <w:rPr>
          <w:rFonts w:ascii="Times New Roman" w:hAnsi="Times New Roman" w:eastAsia="Times New Roman" w:cs="Times New Roman"/>
          <w:spacing w:val="15"/>
        </w:rPr>
        <w:t>×</w:t>
      </w:r>
      <w:r>
        <w:rPr>
          <w:rFonts w:ascii="Times New Roman" w:hAnsi="Times New Roman" w:eastAsia="Times New Roman" w:cs="Times New Roman"/>
          <w:spacing w:val="14"/>
        </w:rPr>
        <w:t>10%+</w:t>
      </w:r>
      <w:r>
        <w:rPr>
          <w:spacing w:val="14"/>
        </w:rPr>
        <w:t>课程加权平均分</w:t>
      </w:r>
      <w:r>
        <w:rPr>
          <w:rFonts w:ascii="Times New Roman" w:hAnsi="Times New Roman" w:eastAsia="Times New Roman" w:cs="Times New Roman"/>
          <w:spacing w:val="-2"/>
        </w:rPr>
        <w:t>×30%+</w:t>
      </w:r>
      <w:r>
        <w:rPr>
          <w:spacing w:val="-2"/>
        </w:rPr>
        <w:t>科研加分</w:t>
      </w:r>
      <w:r>
        <w:rPr>
          <w:rFonts w:ascii="Times New Roman" w:hAnsi="Times New Roman" w:eastAsia="Times New Roman" w:cs="Times New Roman"/>
          <w:spacing w:val="-2"/>
        </w:rPr>
        <w:t>×50%</w:t>
      </w:r>
      <w:r>
        <w:rPr>
          <w:spacing w:val="-2"/>
        </w:rPr>
        <w:t>。</w:t>
      </w:r>
    </w:p>
    <w:p w14:paraId="5D0E2A05">
      <w:pPr>
        <w:pStyle w:val="2"/>
        <w:spacing w:before="69" w:line="364" w:lineRule="auto"/>
        <w:ind w:firstLine="732"/>
      </w:pPr>
      <w:r>
        <w:rPr>
          <w:spacing w:val="-3"/>
        </w:rPr>
        <w:t>除科研加分外，每一项指标上限为</w:t>
      </w:r>
      <w:r>
        <w:rPr>
          <w:spacing w:val="35"/>
          <w:w w:val="10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100 </w:t>
      </w:r>
      <w:r>
        <w:rPr>
          <w:spacing w:val="-3"/>
        </w:rPr>
        <w:t>分。班级评议代表除班长、团支书为指定</w:t>
      </w:r>
      <w:r>
        <w:rPr>
          <w:spacing w:val="-2"/>
        </w:rPr>
        <w:t>参加外</w:t>
      </w:r>
      <w:r>
        <w:rPr>
          <w:spacing w:val="-35"/>
        </w:rPr>
        <w:t xml:space="preserve"> </w:t>
      </w:r>
      <w:r>
        <w:rPr>
          <w:spacing w:val="-2"/>
        </w:rPr>
        <w:t>，其余代表由班级选举产生</w:t>
      </w:r>
      <w:r>
        <w:rPr>
          <w:spacing w:val="-35"/>
        </w:rPr>
        <w:t xml:space="preserve"> </w:t>
      </w:r>
      <w:r>
        <w:rPr>
          <w:spacing w:val="-2"/>
        </w:rPr>
        <w:t>，学生代表总人数不得低于</w:t>
      </w:r>
      <w:r>
        <w:rPr>
          <w:spacing w:val="-3"/>
        </w:rPr>
        <w:t xml:space="preserve">班级总人数的 </w:t>
      </w:r>
      <w:r>
        <w:rPr>
          <w:rFonts w:ascii="Times New Roman" w:hAnsi="Times New Roman" w:eastAsia="Times New Roman" w:cs="Times New Roman"/>
          <w:spacing w:val="-3"/>
        </w:rPr>
        <w:t>30%</w:t>
      </w:r>
      <w:r>
        <w:rPr>
          <w:spacing w:val="-3"/>
        </w:rPr>
        <w:t>。</w:t>
      </w:r>
    </w:p>
    <w:p w14:paraId="333BB41F">
      <w:pPr>
        <w:pStyle w:val="2"/>
        <w:spacing w:before="2" w:line="361" w:lineRule="auto"/>
        <w:ind w:firstLine="721"/>
        <w:jc w:val="both"/>
      </w:pPr>
      <w:r>
        <w:rPr>
          <w:spacing w:val="-2"/>
        </w:rPr>
        <w:t>科研加分由论文发表、项目参与、著作出版、竞赛获奖组成。其中，竞赛获奖仅</w:t>
      </w:r>
      <w:r>
        <w:rPr>
          <w:spacing w:val="-3"/>
        </w:rPr>
        <w:t xml:space="preserve">包括研究生 </w:t>
      </w:r>
      <w:r>
        <w:rPr>
          <w:rFonts w:ascii="Times New Roman" w:hAnsi="Times New Roman" w:eastAsia="Times New Roman" w:cs="Times New Roman"/>
          <w:spacing w:val="-3"/>
        </w:rPr>
        <w:t xml:space="preserve">A </w:t>
      </w:r>
      <w:r>
        <w:rPr>
          <w:spacing w:val="-3"/>
        </w:rPr>
        <w:t>类（即中国研究生创新实践系列大赛所设的各项竞赛）和“挑战杯”系列</w:t>
      </w:r>
      <w:r>
        <w:rPr>
          <w:spacing w:val="-1"/>
        </w:rPr>
        <w:t>竞赛。学生须代表浙江工商大学或浙江工商大学人文</w:t>
      </w:r>
      <w:r>
        <w:rPr>
          <w:spacing w:val="-2"/>
        </w:rPr>
        <w:t>学院，且作为团队负责人或</w:t>
      </w:r>
      <w:r>
        <w:rPr>
          <w:spacing w:val="-3"/>
        </w:rPr>
        <w:t>成员参与的科研成果方可认定</w:t>
      </w:r>
      <w:r>
        <w:rPr>
          <w:spacing w:val="-32"/>
        </w:rPr>
        <w:t xml:space="preserve"> </w:t>
      </w:r>
      <w:r>
        <w:rPr>
          <w:spacing w:val="-3"/>
        </w:rPr>
        <w:t>，加分不设上限</w:t>
      </w:r>
      <w:r>
        <w:rPr>
          <w:spacing w:val="-35"/>
        </w:rPr>
        <w:t xml:space="preserve"> </w:t>
      </w:r>
      <w:r>
        <w:rPr>
          <w:spacing w:val="-3"/>
        </w:rPr>
        <w:t>，标准如下：</w:t>
      </w:r>
    </w:p>
    <w:p w14:paraId="7A7B3BF4">
      <w:pPr>
        <w:pStyle w:val="2"/>
        <w:spacing w:before="171" w:line="184" w:lineRule="auto"/>
        <w:jc w:val="center"/>
      </w:pPr>
      <w:r>
        <w:rPr>
          <w:b/>
          <w:bCs/>
          <w:spacing w:val="-1"/>
        </w:rPr>
        <w:t>人文学院研究生科研创新计分标准</w:t>
      </w:r>
    </w:p>
    <w:p w14:paraId="5DCBD27B">
      <w:pPr>
        <w:spacing w:line="192" w:lineRule="exact"/>
      </w:pPr>
    </w:p>
    <w:tbl>
      <w:tblPr>
        <w:tblStyle w:val="5"/>
        <w:tblW w:w="7665" w:type="dxa"/>
        <w:tblInd w:w="65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9"/>
        <w:gridCol w:w="3089"/>
        <w:gridCol w:w="3897"/>
      </w:tblGrid>
      <w:tr w14:paraId="7064EE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3768" w:type="dxa"/>
            <w:gridSpan w:val="2"/>
            <w:vAlign w:val="top"/>
          </w:tcPr>
          <w:p w14:paraId="2A506D4C">
            <w:pPr>
              <w:spacing w:before="53" w:line="177" w:lineRule="auto"/>
              <w:ind w:left="166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22"/>
                <w:szCs w:val="22"/>
              </w:rPr>
              <w:t>项目</w:t>
            </w:r>
          </w:p>
        </w:tc>
        <w:tc>
          <w:tcPr>
            <w:tcW w:w="3897" w:type="dxa"/>
            <w:vAlign w:val="top"/>
          </w:tcPr>
          <w:p w14:paraId="5C1E3D2C">
            <w:pPr>
              <w:pStyle w:val="6"/>
              <w:spacing w:before="1" w:line="223" w:lineRule="auto"/>
              <w:ind w:left="1257"/>
              <w:rPr>
                <w:rFonts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</w:rPr>
              <w:t>分值（分</w:t>
            </w:r>
            <w:r>
              <w:rPr>
                <w:b/>
                <w:bCs/>
                <w:spacing w:val="-1"/>
              </w:rPr>
              <w:t>/</w:t>
            </w:r>
            <w:r>
              <w:rPr>
                <w:rFonts w:ascii="微软雅黑" w:hAnsi="微软雅黑" w:eastAsia="微软雅黑" w:cs="微软雅黑"/>
                <w:b/>
                <w:bCs/>
                <w:spacing w:val="-1"/>
              </w:rPr>
              <w:t>项）</w:t>
            </w:r>
          </w:p>
        </w:tc>
      </w:tr>
      <w:tr w14:paraId="0266D7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 w14:paraId="1DD0CFE6">
            <w:pPr>
              <w:spacing w:line="279" w:lineRule="auto"/>
              <w:rPr>
                <w:rFonts w:ascii="Arial"/>
                <w:sz w:val="21"/>
              </w:rPr>
            </w:pPr>
          </w:p>
          <w:p w14:paraId="7EBAB03D">
            <w:pPr>
              <w:spacing w:line="280" w:lineRule="auto"/>
              <w:rPr>
                <w:rFonts w:ascii="Arial"/>
                <w:sz w:val="21"/>
              </w:rPr>
            </w:pPr>
          </w:p>
          <w:p w14:paraId="322DEB66">
            <w:pPr>
              <w:spacing w:line="280" w:lineRule="auto"/>
              <w:rPr>
                <w:rFonts w:ascii="Arial"/>
                <w:sz w:val="21"/>
              </w:rPr>
            </w:pPr>
          </w:p>
          <w:p w14:paraId="26B8337C">
            <w:pPr>
              <w:spacing w:line="280" w:lineRule="auto"/>
              <w:rPr>
                <w:rFonts w:ascii="Arial"/>
                <w:sz w:val="21"/>
              </w:rPr>
            </w:pPr>
          </w:p>
          <w:p w14:paraId="70C9311E">
            <w:pPr>
              <w:spacing w:line="280" w:lineRule="auto"/>
              <w:rPr>
                <w:rFonts w:ascii="Arial"/>
                <w:sz w:val="21"/>
              </w:rPr>
            </w:pPr>
          </w:p>
          <w:p w14:paraId="79D4A662">
            <w:pPr>
              <w:spacing w:before="95" w:line="183" w:lineRule="auto"/>
              <w:ind w:left="120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2"/>
                <w:sz w:val="22"/>
                <w:szCs w:val="22"/>
              </w:rPr>
              <w:t>论文</w:t>
            </w:r>
          </w:p>
        </w:tc>
        <w:tc>
          <w:tcPr>
            <w:tcW w:w="3089" w:type="dxa"/>
            <w:vAlign w:val="top"/>
          </w:tcPr>
          <w:p w14:paraId="5603D110">
            <w:pPr>
              <w:spacing w:before="39" w:line="183" w:lineRule="auto"/>
              <w:ind w:left="1323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顶级</w:t>
            </w:r>
          </w:p>
        </w:tc>
        <w:tc>
          <w:tcPr>
            <w:tcW w:w="3897" w:type="dxa"/>
            <w:vAlign w:val="top"/>
          </w:tcPr>
          <w:p w14:paraId="4133D867">
            <w:pPr>
              <w:pStyle w:val="6"/>
              <w:spacing w:before="102" w:line="189" w:lineRule="auto"/>
              <w:ind w:left="1804"/>
            </w:pPr>
            <w:r>
              <w:rPr>
                <w:spacing w:val="-9"/>
              </w:rPr>
              <w:t>150</w:t>
            </w:r>
          </w:p>
        </w:tc>
      </w:tr>
      <w:tr w14:paraId="74F62D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42560C9E">
            <w:pPr>
              <w:rPr>
                <w:rFonts w:ascii="Arial"/>
                <w:sz w:val="21"/>
              </w:rPr>
            </w:pPr>
          </w:p>
        </w:tc>
        <w:tc>
          <w:tcPr>
            <w:tcW w:w="3089" w:type="dxa"/>
            <w:vAlign w:val="top"/>
          </w:tcPr>
          <w:p w14:paraId="2E651EAF">
            <w:pPr>
              <w:pStyle w:val="6"/>
              <w:spacing w:before="42" w:line="182" w:lineRule="auto"/>
              <w:ind w:left="947"/>
              <w:rPr>
                <w:rFonts w:ascii="微软雅黑" w:hAnsi="微软雅黑" w:eastAsia="微软雅黑" w:cs="微软雅黑"/>
              </w:rPr>
            </w:pPr>
            <w:r>
              <w:rPr>
                <w:spacing w:val="-1"/>
              </w:rPr>
              <w:t>A+++</w:t>
            </w:r>
            <w:r>
              <w:rPr>
                <w:rFonts w:ascii="微软雅黑" w:hAnsi="微软雅黑" w:eastAsia="微软雅黑" w:cs="微软雅黑"/>
                <w:spacing w:val="-1"/>
              </w:rPr>
              <w:t>类期刊</w:t>
            </w:r>
          </w:p>
        </w:tc>
        <w:tc>
          <w:tcPr>
            <w:tcW w:w="3897" w:type="dxa"/>
            <w:vAlign w:val="top"/>
          </w:tcPr>
          <w:p w14:paraId="79244958">
            <w:pPr>
              <w:pStyle w:val="6"/>
              <w:spacing w:before="102" w:line="189" w:lineRule="auto"/>
              <w:ind w:left="1804"/>
            </w:pPr>
            <w:r>
              <w:rPr>
                <w:spacing w:val="-9"/>
              </w:rPr>
              <w:t>130</w:t>
            </w:r>
          </w:p>
        </w:tc>
      </w:tr>
      <w:tr w14:paraId="1EAD1F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41947D0A">
            <w:pPr>
              <w:rPr>
                <w:rFonts w:ascii="Arial"/>
                <w:sz w:val="21"/>
              </w:rPr>
            </w:pPr>
          </w:p>
        </w:tc>
        <w:tc>
          <w:tcPr>
            <w:tcW w:w="3089" w:type="dxa"/>
            <w:vAlign w:val="top"/>
          </w:tcPr>
          <w:p w14:paraId="6F5C9B6C">
            <w:pPr>
              <w:pStyle w:val="6"/>
              <w:spacing w:before="41" w:line="182" w:lineRule="auto"/>
              <w:ind w:left="1010"/>
              <w:rPr>
                <w:rFonts w:ascii="微软雅黑" w:hAnsi="微软雅黑" w:eastAsia="微软雅黑" w:cs="微软雅黑"/>
              </w:rPr>
            </w:pPr>
            <w:r>
              <w:rPr>
                <w:spacing w:val="-1"/>
              </w:rPr>
              <w:t>A++</w:t>
            </w:r>
            <w:r>
              <w:rPr>
                <w:rFonts w:ascii="微软雅黑" w:hAnsi="微软雅黑" w:eastAsia="微软雅黑" w:cs="微软雅黑"/>
                <w:spacing w:val="-1"/>
              </w:rPr>
              <w:t>类期刊</w:t>
            </w:r>
          </w:p>
        </w:tc>
        <w:tc>
          <w:tcPr>
            <w:tcW w:w="3897" w:type="dxa"/>
            <w:vAlign w:val="top"/>
          </w:tcPr>
          <w:p w14:paraId="4EC595BD">
            <w:pPr>
              <w:pStyle w:val="6"/>
              <w:spacing w:before="103" w:line="189" w:lineRule="auto"/>
              <w:ind w:left="1809"/>
            </w:pPr>
            <w:r>
              <w:rPr>
                <w:spacing w:val="-10"/>
              </w:rPr>
              <w:t>110</w:t>
            </w:r>
          </w:p>
        </w:tc>
      </w:tr>
      <w:tr w14:paraId="6A0D0D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716198C7">
            <w:pPr>
              <w:rPr>
                <w:rFonts w:ascii="Arial"/>
                <w:sz w:val="21"/>
              </w:rPr>
            </w:pPr>
          </w:p>
        </w:tc>
        <w:tc>
          <w:tcPr>
            <w:tcW w:w="3089" w:type="dxa"/>
            <w:vAlign w:val="top"/>
          </w:tcPr>
          <w:p w14:paraId="3445B481">
            <w:pPr>
              <w:pStyle w:val="6"/>
              <w:spacing w:before="40" w:line="182" w:lineRule="auto"/>
              <w:ind w:left="1070"/>
              <w:rPr>
                <w:rFonts w:ascii="微软雅黑" w:hAnsi="微软雅黑" w:eastAsia="微软雅黑" w:cs="微软雅黑"/>
              </w:rPr>
            </w:pPr>
            <w:r>
              <w:t>A+</w:t>
            </w:r>
            <w:r>
              <w:rPr>
                <w:rFonts w:ascii="微软雅黑" w:hAnsi="微软雅黑" w:eastAsia="微软雅黑" w:cs="微软雅黑"/>
              </w:rPr>
              <w:t>类期刊</w:t>
            </w:r>
          </w:p>
        </w:tc>
        <w:tc>
          <w:tcPr>
            <w:tcW w:w="3897" w:type="dxa"/>
            <w:vAlign w:val="top"/>
          </w:tcPr>
          <w:p w14:paraId="39B3B8C1">
            <w:pPr>
              <w:pStyle w:val="6"/>
              <w:spacing w:before="102" w:line="189" w:lineRule="auto"/>
              <w:ind w:left="1804"/>
            </w:pPr>
            <w:r>
              <w:rPr>
                <w:spacing w:val="-9"/>
              </w:rPr>
              <w:t>100</w:t>
            </w:r>
          </w:p>
        </w:tc>
      </w:tr>
      <w:tr w14:paraId="100E68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055B1F99">
            <w:pPr>
              <w:rPr>
                <w:rFonts w:ascii="Arial"/>
                <w:sz w:val="21"/>
              </w:rPr>
            </w:pPr>
          </w:p>
        </w:tc>
        <w:tc>
          <w:tcPr>
            <w:tcW w:w="3089" w:type="dxa"/>
            <w:vAlign w:val="top"/>
          </w:tcPr>
          <w:p w14:paraId="5D7126D7">
            <w:pPr>
              <w:pStyle w:val="6"/>
              <w:spacing w:before="43" w:line="182" w:lineRule="auto"/>
              <w:ind w:left="597"/>
              <w:rPr>
                <w:rFonts w:ascii="微软雅黑" w:hAnsi="微软雅黑" w:eastAsia="微软雅黑" w:cs="微软雅黑"/>
              </w:rPr>
            </w:pPr>
            <w:r>
              <w:rPr>
                <w:spacing w:val="-1"/>
              </w:rPr>
              <w:t>A-</w:t>
            </w:r>
            <w:r>
              <w:rPr>
                <w:rFonts w:ascii="微软雅黑" w:hAnsi="微软雅黑" w:eastAsia="微软雅黑" w:cs="微软雅黑"/>
                <w:spacing w:val="-1"/>
              </w:rPr>
              <w:t>类</w:t>
            </w:r>
            <w:r>
              <w:rPr>
                <w:spacing w:val="-1"/>
              </w:rPr>
              <w:t xml:space="preserve">-ABS </w:t>
            </w:r>
            <w:r>
              <w:rPr>
                <w:rFonts w:ascii="微软雅黑" w:hAnsi="微软雅黑" w:eastAsia="微软雅黑" w:cs="微软雅黑"/>
                <w:spacing w:val="-1"/>
              </w:rPr>
              <w:t>二星期刊</w:t>
            </w:r>
          </w:p>
        </w:tc>
        <w:tc>
          <w:tcPr>
            <w:tcW w:w="3897" w:type="dxa"/>
            <w:vAlign w:val="top"/>
          </w:tcPr>
          <w:p w14:paraId="75E3E9C9">
            <w:pPr>
              <w:pStyle w:val="6"/>
              <w:spacing w:before="105" w:line="189" w:lineRule="auto"/>
              <w:ind w:left="1847"/>
            </w:pPr>
            <w:r>
              <w:rPr>
                <w:spacing w:val="-7"/>
              </w:rPr>
              <w:t>80</w:t>
            </w:r>
          </w:p>
        </w:tc>
      </w:tr>
      <w:tr w14:paraId="5EA3F0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69D4A152">
            <w:pPr>
              <w:rPr>
                <w:rFonts w:ascii="Arial"/>
                <w:sz w:val="21"/>
              </w:rPr>
            </w:pPr>
          </w:p>
        </w:tc>
        <w:tc>
          <w:tcPr>
            <w:tcW w:w="3089" w:type="dxa"/>
            <w:vAlign w:val="top"/>
          </w:tcPr>
          <w:p w14:paraId="3E64D009">
            <w:pPr>
              <w:pStyle w:val="6"/>
              <w:spacing w:before="44" w:line="182" w:lineRule="auto"/>
              <w:ind w:left="1333"/>
              <w:rPr>
                <w:rFonts w:ascii="微软雅黑" w:hAnsi="微软雅黑" w:eastAsia="微软雅黑" w:cs="微软雅黑"/>
              </w:rPr>
            </w:pPr>
            <w:r>
              <w:rPr>
                <w:spacing w:val="-2"/>
              </w:rPr>
              <w:t>B</w:t>
            </w:r>
            <w:r>
              <w:rPr>
                <w:spacing w:val="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2"/>
              </w:rPr>
              <w:t>类</w:t>
            </w:r>
          </w:p>
        </w:tc>
        <w:tc>
          <w:tcPr>
            <w:tcW w:w="3897" w:type="dxa"/>
            <w:vAlign w:val="top"/>
          </w:tcPr>
          <w:p w14:paraId="06AC5A2A">
            <w:pPr>
              <w:pStyle w:val="6"/>
              <w:spacing w:before="104" w:line="189" w:lineRule="auto"/>
              <w:ind w:left="1843"/>
            </w:pPr>
            <w:r>
              <w:rPr>
                <w:spacing w:val="-5"/>
              </w:rPr>
              <w:t>60</w:t>
            </w:r>
          </w:p>
        </w:tc>
      </w:tr>
      <w:tr w14:paraId="47FF48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679" w:type="dxa"/>
            <w:vMerge w:val="continue"/>
            <w:tcBorders>
              <w:top w:val="nil"/>
            </w:tcBorders>
            <w:vAlign w:val="top"/>
          </w:tcPr>
          <w:p w14:paraId="20962792">
            <w:pPr>
              <w:rPr>
                <w:rFonts w:ascii="Arial"/>
                <w:sz w:val="21"/>
              </w:rPr>
            </w:pPr>
          </w:p>
        </w:tc>
        <w:tc>
          <w:tcPr>
            <w:tcW w:w="3089" w:type="dxa"/>
            <w:vAlign w:val="top"/>
          </w:tcPr>
          <w:p w14:paraId="37C4F0C5">
            <w:pPr>
              <w:spacing w:before="39" w:line="184" w:lineRule="auto"/>
              <w:ind w:left="1104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2"/>
                <w:sz w:val="22"/>
                <w:szCs w:val="22"/>
              </w:rPr>
              <w:t>普通期刊</w:t>
            </w:r>
          </w:p>
        </w:tc>
        <w:tc>
          <w:tcPr>
            <w:tcW w:w="3897" w:type="dxa"/>
            <w:vAlign w:val="top"/>
          </w:tcPr>
          <w:p w14:paraId="701EDD7D">
            <w:pPr>
              <w:pStyle w:val="6"/>
              <w:spacing w:before="108" w:line="186" w:lineRule="auto"/>
              <w:ind w:left="1899"/>
            </w:pPr>
            <w:r>
              <w:t>5</w:t>
            </w:r>
          </w:p>
        </w:tc>
      </w:tr>
      <w:tr w14:paraId="7285AA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 w14:paraId="1EB9C864">
            <w:pPr>
              <w:spacing w:before="291" w:line="316" w:lineRule="auto"/>
              <w:ind w:left="118" w:right="11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22"/>
                <w:szCs w:val="22"/>
              </w:rPr>
              <w:t>科研项目</w:t>
            </w:r>
          </w:p>
        </w:tc>
        <w:tc>
          <w:tcPr>
            <w:tcW w:w="3089" w:type="dxa"/>
            <w:vAlign w:val="top"/>
          </w:tcPr>
          <w:p w14:paraId="24C21785">
            <w:pPr>
              <w:spacing w:before="38" w:line="185" w:lineRule="auto"/>
              <w:ind w:left="1007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3"/>
                <w:sz w:val="22"/>
                <w:szCs w:val="22"/>
              </w:rPr>
              <w:t>国家级项目</w:t>
            </w:r>
          </w:p>
        </w:tc>
        <w:tc>
          <w:tcPr>
            <w:tcW w:w="3897" w:type="dxa"/>
            <w:vAlign w:val="top"/>
          </w:tcPr>
          <w:p w14:paraId="760E898B">
            <w:pPr>
              <w:pStyle w:val="6"/>
              <w:spacing w:before="105" w:line="189" w:lineRule="auto"/>
              <w:ind w:left="1804"/>
            </w:pPr>
            <w:r>
              <w:rPr>
                <w:spacing w:val="-9"/>
              </w:rPr>
              <w:t>150</w:t>
            </w:r>
          </w:p>
        </w:tc>
      </w:tr>
      <w:tr w14:paraId="0C65EB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3F2BACB0">
            <w:pPr>
              <w:rPr>
                <w:rFonts w:ascii="Arial"/>
                <w:sz w:val="21"/>
              </w:rPr>
            </w:pPr>
          </w:p>
        </w:tc>
        <w:tc>
          <w:tcPr>
            <w:tcW w:w="3089" w:type="dxa"/>
            <w:vAlign w:val="top"/>
          </w:tcPr>
          <w:p w14:paraId="675DAD58">
            <w:pPr>
              <w:spacing w:before="41" w:line="184" w:lineRule="auto"/>
              <w:ind w:left="995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省部级项目</w:t>
            </w:r>
          </w:p>
        </w:tc>
        <w:tc>
          <w:tcPr>
            <w:tcW w:w="3897" w:type="dxa"/>
            <w:vAlign w:val="top"/>
          </w:tcPr>
          <w:p w14:paraId="3EA4D341">
            <w:pPr>
              <w:pStyle w:val="6"/>
              <w:spacing w:before="107" w:line="189" w:lineRule="auto"/>
              <w:ind w:left="1847"/>
            </w:pPr>
            <w:r>
              <w:rPr>
                <w:spacing w:val="-7"/>
              </w:rPr>
              <w:t>80</w:t>
            </w:r>
          </w:p>
        </w:tc>
      </w:tr>
      <w:tr w14:paraId="1C52E6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679" w:type="dxa"/>
            <w:vMerge w:val="continue"/>
            <w:tcBorders>
              <w:top w:val="nil"/>
            </w:tcBorders>
            <w:vAlign w:val="top"/>
          </w:tcPr>
          <w:p w14:paraId="086CC1B9">
            <w:pPr>
              <w:rPr>
                <w:rFonts w:ascii="Arial"/>
                <w:sz w:val="21"/>
              </w:rPr>
            </w:pPr>
          </w:p>
        </w:tc>
        <w:tc>
          <w:tcPr>
            <w:tcW w:w="3089" w:type="dxa"/>
            <w:vAlign w:val="top"/>
          </w:tcPr>
          <w:p w14:paraId="34E8CBED">
            <w:pPr>
              <w:spacing w:line="222" w:lineRule="auto"/>
              <w:ind w:left="663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厅局级（含校级）</w:t>
            </w:r>
          </w:p>
        </w:tc>
        <w:tc>
          <w:tcPr>
            <w:tcW w:w="3897" w:type="dxa"/>
            <w:vAlign w:val="top"/>
          </w:tcPr>
          <w:p w14:paraId="4E55DD9A">
            <w:pPr>
              <w:pStyle w:val="6"/>
              <w:spacing w:before="107" w:line="189" w:lineRule="auto"/>
              <w:ind w:left="1843"/>
            </w:pPr>
            <w:r>
              <w:rPr>
                <w:spacing w:val="-5"/>
              </w:rPr>
              <w:t>30</w:t>
            </w:r>
          </w:p>
        </w:tc>
      </w:tr>
    </w:tbl>
    <w:p w14:paraId="0D1CBA48">
      <w:pPr>
        <w:rPr>
          <w:rFonts w:ascii="Arial"/>
          <w:sz w:val="21"/>
        </w:rPr>
      </w:pPr>
    </w:p>
    <w:p w14:paraId="3BEF5EE7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9"/>
          <w:pgMar w:top="1431" w:right="1418" w:bottom="1110" w:left="1417" w:header="0" w:footer="836" w:gutter="0"/>
          <w:cols w:space="720" w:num="1"/>
        </w:sectPr>
      </w:pPr>
    </w:p>
    <w:tbl>
      <w:tblPr>
        <w:tblStyle w:val="5"/>
        <w:tblW w:w="7665" w:type="dxa"/>
        <w:tblInd w:w="65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9"/>
        <w:gridCol w:w="1225"/>
        <w:gridCol w:w="1864"/>
        <w:gridCol w:w="3897"/>
      </w:tblGrid>
      <w:tr w14:paraId="06C0AB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 w14:paraId="24C999CF">
            <w:pPr>
              <w:spacing w:before="288" w:line="183" w:lineRule="auto"/>
              <w:ind w:left="118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22"/>
                <w:szCs w:val="22"/>
              </w:rPr>
              <w:t>著作</w:t>
            </w:r>
          </w:p>
        </w:tc>
        <w:tc>
          <w:tcPr>
            <w:tcW w:w="3089" w:type="dxa"/>
            <w:gridSpan w:val="2"/>
            <w:vAlign w:val="top"/>
          </w:tcPr>
          <w:p w14:paraId="54C72C62">
            <w:pPr>
              <w:spacing w:line="222" w:lineRule="auto"/>
              <w:ind w:left="538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著作（含译作、合著）</w:t>
            </w:r>
          </w:p>
        </w:tc>
        <w:tc>
          <w:tcPr>
            <w:tcW w:w="3897" w:type="dxa"/>
            <w:vAlign w:val="top"/>
          </w:tcPr>
          <w:p w14:paraId="291877C1">
            <w:pPr>
              <w:pStyle w:val="6"/>
              <w:spacing w:line="222" w:lineRule="auto"/>
              <w:ind w:left="316"/>
              <w:rPr>
                <w:rFonts w:ascii="微软雅黑" w:hAnsi="微软雅黑" w:eastAsia="微软雅黑" w:cs="微软雅黑"/>
              </w:rPr>
            </w:pPr>
            <w:r>
              <w:rPr>
                <w:spacing w:val="-2"/>
              </w:rPr>
              <w:t xml:space="preserve">1 </w:t>
            </w:r>
            <w:r>
              <w:rPr>
                <w:rFonts w:ascii="微软雅黑" w:hAnsi="微软雅黑" w:eastAsia="微软雅黑" w:cs="微软雅黑"/>
                <w:spacing w:val="-2"/>
              </w:rPr>
              <w:t>分</w:t>
            </w:r>
            <w:r>
              <w:rPr>
                <w:spacing w:val="-2"/>
              </w:rPr>
              <w:t>/</w:t>
            </w:r>
            <w:r>
              <w:rPr>
                <w:rFonts w:ascii="微软雅黑" w:hAnsi="微软雅黑" w:eastAsia="微软雅黑" w:cs="微软雅黑"/>
                <w:spacing w:val="-2"/>
              </w:rPr>
              <w:t>千字（以整千作为计算基数）</w:t>
            </w:r>
          </w:p>
        </w:tc>
      </w:tr>
      <w:tr w14:paraId="06576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679" w:type="dxa"/>
            <w:vMerge w:val="continue"/>
            <w:tcBorders>
              <w:top w:val="nil"/>
            </w:tcBorders>
            <w:vAlign w:val="top"/>
          </w:tcPr>
          <w:p w14:paraId="00A05F74">
            <w:pPr>
              <w:rPr>
                <w:rFonts w:ascii="Arial"/>
                <w:sz w:val="21"/>
              </w:rPr>
            </w:pPr>
          </w:p>
        </w:tc>
        <w:tc>
          <w:tcPr>
            <w:tcW w:w="3089" w:type="dxa"/>
            <w:gridSpan w:val="2"/>
            <w:vAlign w:val="top"/>
          </w:tcPr>
          <w:p w14:paraId="55B1C3BF">
            <w:pPr>
              <w:spacing w:before="1" w:line="220" w:lineRule="auto"/>
              <w:ind w:left="773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教材（含合著）</w:t>
            </w:r>
          </w:p>
        </w:tc>
        <w:tc>
          <w:tcPr>
            <w:tcW w:w="3897" w:type="dxa"/>
            <w:vAlign w:val="top"/>
          </w:tcPr>
          <w:p w14:paraId="7A4F0913">
            <w:pPr>
              <w:pStyle w:val="6"/>
              <w:spacing w:before="1" w:line="220" w:lineRule="auto"/>
              <w:ind w:left="316"/>
              <w:rPr>
                <w:rFonts w:ascii="微软雅黑" w:hAnsi="微软雅黑" w:eastAsia="微软雅黑" w:cs="微软雅黑"/>
              </w:rPr>
            </w:pPr>
            <w:r>
              <w:rPr>
                <w:spacing w:val="-2"/>
              </w:rPr>
              <w:t xml:space="preserve">1 </w:t>
            </w:r>
            <w:r>
              <w:rPr>
                <w:rFonts w:ascii="微软雅黑" w:hAnsi="微软雅黑" w:eastAsia="微软雅黑" w:cs="微软雅黑"/>
                <w:spacing w:val="-2"/>
              </w:rPr>
              <w:t>分</w:t>
            </w:r>
            <w:r>
              <w:rPr>
                <w:spacing w:val="-2"/>
              </w:rPr>
              <w:t>/</w:t>
            </w:r>
            <w:r>
              <w:rPr>
                <w:rFonts w:ascii="微软雅黑" w:hAnsi="微软雅黑" w:eastAsia="微软雅黑" w:cs="微软雅黑"/>
                <w:spacing w:val="-2"/>
              </w:rPr>
              <w:t>千字（以整千作为计算基数）</w:t>
            </w:r>
          </w:p>
        </w:tc>
      </w:tr>
      <w:tr w14:paraId="3A509B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 w14:paraId="1020FA87">
            <w:pPr>
              <w:spacing w:line="281" w:lineRule="auto"/>
              <w:rPr>
                <w:rFonts w:ascii="Arial"/>
                <w:sz w:val="21"/>
              </w:rPr>
            </w:pPr>
          </w:p>
          <w:p w14:paraId="5D3EF363">
            <w:pPr>
              <w:spacing w:line="281" w:lineRule="auto"/>
              <w:rPr>
                <w:rFonts w:ascii="Arial"/>
                <w:sz w:val="21"/>
              </w:rPr>
            </w:pPr>
          </w:p>
          <w:p w14:paraId="5C17FA1C">
            <w:pPr>
              <w:spacing w:line="281" w:lineRule="auto"/>
              <w:rPr>
                <w:rFonts w:ascii="Arial"/>
                <w:sz w:val="21"/>
              </w:rPr>
            </w:pPr>
          </w:p>
          <w:p w14:paraId="498EF1F9">
            <w:pPr>
              <w:spacing w:line="282" w:lineRule="auto"/>
              <w:rPr>
                <w:rFonts w:ascii="Arial"/>
                <w:sz w:val="21"/>
              </w:rPr>
            </w:pPr>
          </w:p>
          <w:p w14:paraId="53D086D4">
            <w:pPr>
              <w:spacing w:line="282" w:lineRule="auto"/>
              <w:rPr>
                <w:rFonts w:ascii="Arial"/>
                <w:sz w:val="21"/>
              </w:rPr>
            </w:pPr>
          </w:p>
          <w:p w14:paraId="78D84FCC">
            <w:pPr>
              <w:spacing w:before="94" w:line="314" w:lineRule="auto"/>
              <w:ind w:left="118" w:right="11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b/>
                <w:bCs/>
                <w:spacing w:val="-1"/>
                <w:sz w:val="22"/>
                <w:szCs w:val="22"/>
              </w:rPr>
              <w:t>竞赛获奖</w:t>
            </w:r>
          </w:p>
        </w:tc>
        <w:tc>
          <w:tcPr>
            <w:tcW w:w="1225" w:type="dxa"/>
            <w:vMerge w:val="restart"/>
            <w:tcBorders>
              <w:bottom w:val="nil"/>
            </w:tcBorders>
            <w:vAlign w:val="top"/>
          </w:tcPr>
          <w:p w14:paraId="770D83F3">
            <w:pPr>
              <w:spacing w:line="335" w:lineRule="auto"/>
              <w:rPr>
                <w:rFonts w:ascii="Arial"/>
                <w:sz w:val="21"/>
              </w:rPr>
            </w:pPr>
          </w:p>
          <w:p w14:paraId="5BAEEF1B">
            <w:pPr>
              <w:spacing w:line="336" w:lineRule="auto"/>
              <w:rPr>
                <w:rFonts w:ascii="Arial"/>
                <w:sz w:val="21"/>
              </w:rPr>
            </w:pPr>
          </w:p>
          <w:p w14:paraId="2CB9CC6C">
            <w:pPr>
              <w:spacing w:before="94" w:line="185" w:lineRule="auto"/>
              <w:ind w:left="295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5"/>
                <w:sz w:val="22"/>
                <w:szCs w:val="22"/>
              </w:rPr>
              <w:t>国家级</w:t>
            </w:r>
          </w:p>
        </w:tc>
        <w:tc>
          <w:tcPr>
            <w:tcW w:w="1864" w:type="dxa"/>
            <w:vAlign w:val="top"/>
          </w:tcPr>
          <w:p w14:paraId="48747673">
            <w:pPr>
              <w:spacing w:line="221" w:lineRule="auto"/>
              <w:ind w:left="103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特等奖</w:t>
            </w:r>
            <w:r>
              <w:rPr>
                <w:rFonts w:ascii="微软雅黑" w:hAnsi="微软雅黑" w:eastAsia="微软雅黑" w:cs="微软雅黑"/>
                <w:spacing w:val="50"/>
                <w:w w:val="101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（金奖）</w:t>
            </w:r>
          </w:p>
        </w:tc>
        <w:tc>
          <w:tcPr>
            <w:tcW w:w="3897" w:type="dxa"/>
            <w:vAlign w:val="top"/>
          </w:tcPr>
          <w:p w14:paraId="18B8784B">
            <w:pPr>
              <w:pStyle w:val="6"/>
              <w:spacing w:before="105" w:line="189" w:lineRule="auto"/>
              <w:ind w:left="1804"/>
            </w:pPr>
            <w:r>
              <w:rPr>
                <w:spacing w:val="-9"/>
              </w:rPr>
              <w:t>100</w:t>
            </w:r>
          </w:p>
        </w:tc>
      </w:tr>
      <w:tr w14:paraId="257995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287DF8F1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Merge w:val="continue"/>
            <w:tcBorders>
              <w:top w:val="nil"/>
              <w:bottom w:val="nil"/>
            </w:tcBorders>
            <w:vAlign w:val="top"/>
          </w:tcPr>
          <w:p w14:paraId="7DFD19D4">
            <w:pPr>
              <w:rPr>
                <w:rFonts w:ascii="Arial"/>
                <w:sz w:val="21"/>
              </w:rPr>
            </w:pPr>
          </w:p>
        </w:tc>
        <w:tc>
          <w:tcPr>
            <w:tcW w:w="1864" w:type="dxa"/>
            <w:vAlign w:val="top"/>
          </w:tcPr>
          <w:p w14:paraId="6674C3BC">
            <w:pPr>
              <w:spacing w:line="220" w:lineRule="auto"/>
              <w:ind w:left="10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一等奖</w:t>
            </w:r>
            <w:r>
              <w:rPr>
                <w:rFonts w:ascii="微软雅黑" w:hAnsi="微软雅黑" w:eastAsia="微软雅黑" w:cs="微软雅黑"/>
                <w:spacing w:val="47"/>
                <w:w w:val="101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（银奖）</w:t>
            </w:r>
          </w:p>
        </w:tc>
        <w:tc>
          <w:tcPr>
            <w:tcW w:w="3897" w:type="dxa"/>
            <w:vAlign w:val="top"/>
          </w:tcPr>
          <w:p w14:paraId="189B714F">
            <w:pPr>
              <w:pStyle w:val="6"/>
              <w:spacing w:before="104" w:line="189" w:lineRule="auto"/>
              <w:ind w:left="1843"/>
            </w:pPr>
            <w:r>
              <w:rPr>
                <w:spacing w:val="-5"/>
              </w:rPr>
              <w:t>60</w:t>
            </w:r>
          </w:p>
        </w:tc>
      </w:tr>
      <w:tr w14:paraId="304782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347D0D88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Merge w:val="continue"/>
            <w:tcBorders>
              <w:top w:val="nil"/>
              <w:bottom w:val="nil"/>
            </w:tcBorders>
            <w:vAlign w:val="top"/>
          </w:tcPr>
          <w:p w14:paraId="3865FCE6">
            <w:pPr>
              <w:rPr>
                <w:rFonts w:ascii="Arial"/>
                <w:sz w:val="21"/>
              </w:rPr>
            </w:pPr>
          </w:p>
        </w:tc>
        <w:tc>
          <w:tcPr>
            <w:tcW w:w="1864" w:type="dxa"/>
            <w:vAlign w:val="top"/>
          </w:tcPr>
          <w:p w14:paraId="5F4B57BD">
            <w:pPr>
              <w:spacing w:line="222" w:lineRule="auto"/>
              <w:ind w:left="109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二等奖</w:t>
            </w:r>
            <w:r>
              <w:rPr>
                <w:rFonts w:ascii="微软雅黑" w:hAnsi="微软雅黑" w:eastAsia="微软雅黑" w:cs="微软雅黑"/>
                <w:spacing w:val="45"/>
                <w:w w:val="101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（铜奖）</w:t>
            </w:r>
          </w:p>
        </w:tc>
        <w:tc>
          <w:tcPr>
            <w:tcW w:w="3897" w:type="dxa"/>
            <w:vAlign w:val="top"/>
          </w:tcPr>
          <w:p w14:paraId="12D44599">
            <w:pPr>
              <w:pStyle w:val="6"/>
              <w:spacing w:before="104" w:line="189" w:lineRule="auto"/>
              <w:ind w:left="1843"/>
            </w:pPr>
            <w:r>
              <w:rPr>
                <w:spacing w:val="-5"/>
              </w:rPr>
              <w:t>30</w:t>
            </w:r>
          </w:p>
        </w:tc>
      </w:tr>
      <w:tr w14:paraId="0A2A67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0E1469DD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Merge w:val="continue"/>
            <w:tcBorders>
              <w:top w:val="nil"/>
            </w:tcBorders>
            <w:vAlign w:val="top"/>
          </w:tcPr>
          <w:p w14:paraId="039D10B5">
            <w:pPr>
              <w:rPr>
                <w:rFonts w:ascii="Arial"/>
                <w:sz w:val="21"/>
              </w:rPr>
            </w:pPr>
          </w:p>
        </w:tc>
        <w:tc>
          <w:tcPr>
            <w:tcW w:w="1864" w:type="dxa"/>
            <w:vAlign w:val="top"/>
          </w:tcPr>
          <w:p w14:paraId="61720DAF">
            <w:pPr>
              <w:spacing w:before="42" w:line="183" w:lineRule="auto"/>
              <w:ind w:left="60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2"/>
                <w:sz w:val="22"/>
                <w:szCs w:val="22"/>
              </w:rPr>
              <w:t>三等奖</w:t>
            </w:r>
          </w:p>
        </w:tc>
        <w:tc>
          <w:tcPr>
            <w:tcW w:w="3897" w:type="dxa"/>
            <w:vAlign w:val="top"/>
          </w:tcPr>
          <w:p w14:paraId="334C0030">
            <w:pPr>
              <w:pStyle w:val="6"/>
              <w:spacing w:before="106" w:line="189" w:lineRule="auto"/>
              <w:ind w:left="1859"/>
            </w:pPr>
            <w:r>
              <w:rPr>
                <w:spacing w:val="-13"/>
              </w:rPr>
              <w:t>15</w:t>
            </w:r>
          </w:p>
        </w:tc>
      </w:tr>
      <w:tr w14:paraId="763D34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22E5C158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Merge w:val="restart"/>
            <w:tcBorders>
              <w:bottom w:val="nil"/>
            </w:tcBorders>
            <w:vAlign w:val="top"/>
          </w:tcPr>
          <w:p w14:paraId="5DFF247F">
            <w:pPr>
              <w:spacing w:line="337" w:lineRule="auto"/>
              <w:rPr>
                <w:rFonts w:ascii="Arial"/>
                <w:sz w:val="21"/>
              </w:rPr>
            </w:pPr>
          </w:p>
          <w:p w14:paraId="744A7C7E">
            <w:pPr>
              <w:spacing w:line="337" w:lineRule="auto"/>
              <w:rPr>
                <w:rFonts w:ascii="Arial"/>
                <w:sz w:val="21"/>
              </w:rPr>
            </w:pPr>
          </w:p>
          <w:p w14:paraId="169F89A7">
            <w:pPr>
              <w:spacing w:before="95" w:line="183" w:lineRule="auto"/>
              <w:ind w:left="393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省级</w:t>
            </w:r>
          </w:p>
        </w:tc>
        <w:tc>
          <w:tcPr>
            <w:tcW w:w="1864" w:type="dxa"/>
            <w:vAlign w:val="top"/>
          </w:tcPr>
          <w:p w14:paraId="1FEA9023">
            <w:pPr>
              <w:spacing w:before="1" w:line="222" w:lineRule="auto"/>
              <w:ind w:left="103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特等奖</w:t>
            </w:r>
            <w:r>
              <w:rPr>
                <w:rFonts w:ascii="微软雅黑" w:hAnsi="微软雅黑" w:eastAsia="微软雅黑" w:cs="微软雅黑"/>
                <w:spacing w:val="50"/>
                <w:w w:val="101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（金奖）</w:t>
            </w:r>
          </w:p>
        </w:tc>
        <w:tc>
          <w:tcPr>
            <w:tcW w:w="3897" w:type="dxa"/>
            <w:vAlign w:val="top"/>
          </w:tcPr>
          <w:p w14:paraId="38984842">
            <w:pPr>
              <w:pStyle w:val="6"/>
              <w:spacing w:before="105" w:line="189" w:lineRule="auto"/>
              <w:ind w:left="1859"/>
            </w:pPr>
            <w:r>
              <w:rPr>
                <w:spacing w:val="-13"/>
              </w:rPr>
              <w:t>15</w:t>
            </w:r>
          </w:p>
        </w:tc>
      </w:tr>
      <w:tr w14:paraId="79A22D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6ED24580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Merge w:val="continue"/>
            <w:tcBorders>
              <w:top w:val="nil"/>
              <w:bottom w:val="nil"/>
            </w:tcBorders>
            <w:vAlign w:val="top"/>
          </w:tcPr>
          <w:p w14:paraId="60199B89">
            <w:pPr>
              <w:rPr>
                <w:rFonts w:ascii="Arial"/>
                <w:sz w:val="21"/>
              </w:rPr>
            </w:pPr>
          </w:p>
        </w:tc>
        <w:tc>
          <w:tcPr>
            <w:tcW w:w="1864" w:type="dxa"/>
            <w:vAlign w:val="top"/>
          </w:tcPr>
          <w:p w14:paraId="32D85888">
            <w:pPr>
              <w:spacing w:line="222" w:lineRule="auto"/>
              <w:ind w:left="10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一等奖</w:t>
            </w:r>
            <w:r>
              <w:rPr>
                <w:rFonts w:ascii="微软雅黑" w:hAnsi="微软雅黑" w:eastAsia="微软雅黑" w:cs="微软雅黑"/>
                <w:spacing w:val="47"/>
                <w:w w:val="101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（银奖）</w:t>
            </w:r>
          </w:p>
        </w:tc>
        <w:tc>
          <w:tcPr>
            <w:tcW w:w="3897" w:type="dxa"/>
            <w:vAlign w:val="top"/>
          </w:tcPr>
          <w:p w14:paraId="7172984A">
            <w:pPr>
              <w:pStyle w:val="6"/>
              <w:spacing w:before="106" w:line="189" w:lineRule="auto"/>
              <w:ind w:left="1859"/>
            </w:pPr>
            <w:r>
              <w:rPr>
                <w:spacing w:val="-13"/>
              </w:rPr>
              <w:t>10</w:t>
            </w:r>
          </w:p>
        </w:tc>
      </w:tr>
      <w:tr w14:paraId="2D2035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04F7FB88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Merge w:val="continue"/>
            <w:tcBorders>
              <w:top w:val="nil"/>
              <w:bottom w:val="nil"/>
            </w:tcBorders>
            <w:vAlign w:val="top"/>
          </w:tcPr>
          <w:p w14:paraId="018A6A18">
            <w:pPr>
              <w:rPr>
                <w:rFonts w:ascii="Arial"/>
                <w:sz w:val="21"/>
              </w:rPr>
            </w:pPr>
          </w:p>
        </w:tc>
        <w:tc>
          <w:tcPr>
            <w:tcW w:w="1864" w:type="dxa"/>
            <w:vAlign w:val="top"/>
          </w:tcPr>
          <w:p w14:paraId="3CDB6A47">
            <w:pPr>
              <w:spacing w:before="1" w:line="221" w:lineRule="auto"/>
              <w:ind w:left="109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二等奖</w:t>
            </w:r>
            <w:r>
              <w:rPr>
                <w:rFonts w:ascii="微软雅黑" w:hAnsi="微软雅黑" w:eastAsia="微软雅黑" w:cs="微软雅黑"/>
                <w:spacing w:val="45"/>
                <w:w w:val="101"/>
                <w:sz w:val="22"/>
                <w:szCs w:val="2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1"/>
                <w:sz w:val="22"/>
                <w:szCs w:val="22"/>
              </w:rPr>
              <w:t>（铜奖）</w:t>
            </w:r>
          </w:p>
        </w:tc>
        <w:tc>
          <w:tcPr>
            <w:tcW w:w="3897" w:type="dxa"/>
            <w:vAlign w:val="top"/>
          </w:tcPr>
          <w:p w14:paraId="2C084F3D">
            <w:pPr>
              <w:pStyle w:val="6"/>
              <w:spacing w:before="109" w:line="186" w:lineRule="auto"/>
              <w:ind w:left="1899"/>
            </w:pPr>
            <w:r>
              <w:t>5</w:t>
            </w:r>
          </w:p>
        </w:tc>
      </w:tr>
      <w:tr w14:paraId="378B8C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679" w:type="dxa"/>
            <w:vMerge w:val="continue"/>
            <w:tcBorders>
              <w:top w:val="nil"/>
            </w:tcBorders>
            <w:vAlign w:val="top"/>
          </w:tcPr>
          <w:p w14:paraId="306FC3D4">
            <w:pPr>
              <w:rPr>
                <w:rFonts w:ascii="Arial"/>
                <w:sz w:val="21"/>
              </w:rPr>
            </w:pPr>
          </w:p>
        </w:tc>
        <w:tc>
          <w:tcPr>
            <w:tcW w:w="1225" w:type="dxa"/>
            <w:vMerge w:val="continue"/>
            <w:tcBorders>
              <w:top w:val="nil"/>
            </w:tcBorders>
            <w:vAlign w:val="top"/>
          </w:tcPr>
          <w:p w14:paraId="5AE6B5C8">
            <w:pPr>
              <w:rPr>
                <w:rFonts w:ascii="Arial"/>
                <w:sz w:val="21"/>
              </w:rPr>
            </w:pPr>
          </w:p>
        </w:tc>
        <w:tc>
          <w:tcPr>
            <w:tcW w:w="1864" w:type="dxa"/>
            <w:vAlign w:val="top"/>
          </w:tcPr>
          <w:p w14:paraId="21BD5184">
            <w:pPr>
              <w:spacing w:before="43" w:line="183" w:lineRule="auto"/>
              <w:ind w:left="606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微软雅黑" w:hAnsi="微软雅黑" w:eastAsia="微软雅黑" w:cs="微软雅黑"/>
                <w:spacing w:val="-2"/>
                <w:sz w:val="22"/>
                <w:szCs w:val="22"/>
              </w:rPr>
              <w:t>三等奖</w:t>
            </w:r>
          </w:p>
        </w:tc>
        <w:tc>
          <w:tcPr>
            <w:tcW w:w="3897" w:type="dxa"/>
            <w:vAlign w:val="top"/>
          </w:tcPr>
          <w:p w14:paraId="58F45A69">
            <w:pPr>
              <w:pStyle w:val="6"/>
              <w:spacing w:before="107" w:line="189" w:lineRule="auto"/>
              <w:ind w:left="1893"/>
            </w:pPr>
            <w:r>
              <w:t>2</w:t>
            </w:r>
          </w:p>
        </w:tc>
      </w:tr>
    </w:tbl>
    <w:p w14:paraId="6F4C3422">
      <w:pPr>
        <w:spacing w:line="419" w:lineRule="auto"/>
        <w:rPr>
          <w:rFonts w:ascii="Arial"/>
          <w:sz w:val="21"/>
        </w:rPr>
      </w:pPr>
    </w:p>
    <w:p w14:paraId="711EEF6A">
      <w:pPr>
        <w:pStyle w:val="2"/>
        <w:spacing w:before="103" w:line="183" w:lineRule="auto"/>
        <w:ind w:left="480"/>
      </w:pPr>
      <w:r>
        <w:rPr>
          <w:b/>
          <w:bCs/>
          <w:spacing w:val="-2"/>
        </w:rPr>
        <w:t>备注：</w:t>
      </w:r>
    </w:p>
    <w:p w14:paraId="1D01D3DA">
      <w:pPr>
        <w:pStyle w:val="2"/>
        <w:spacing w:before="210" w:line="182" w:lineRule="auto"/>
        <w:ind w:left="480"/>
      </w:pPr>
      <w:r>
        <w:rPr>
          <w:b/>
          <w:bCs/>
          <w:spacing w:val="-1"/>
        </w:rPr>
        <w:t>科研项目：</w:t>
      </w:r>
    </w:p>
    <w:p w14:paraId="36CF8F22">
      <w:pPr>
        <w:pStyle w:val="2"/>
        <w:spacing w:before="161" w:line="221" w:lineRule="auto"/>
        <w:ind w:left="518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）加分依据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spacing w:val="-2"/>
        </w:rPr>
        <w:t>多人合作完成的成果分摊系数表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spacing w:val="-2"/>
        </w:rPr>
        <w:t>进行计算。</w:t>
      </w:r>
    </w:p>
    <w:p w14:paraId="14874EEF">
      <w:pPr>
        <w:pStyle w:val="2"/>
        <w:spacing w:before="143" w:line="304" w:lineRule="auto"/>
        <w:ind w:left="2" w:firstLine="515"/>
      </w:pP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3"/>
        </w:rPr>
        <w:t>2</w:t>
      </w:r>
      <w:r>
        <w:rPr>
          <w:spacing w:val="-3"/>
        </w:rPr>
        <w:t>）</w:t>
      </w:r>
      <w:r>
        <w:rPr>
          <w:spacing w:val="-35"/>
        </w:rPr>
        <w:t xml:space="preserve"> </w:t>
      </w:r>
      <w:r>
        <w:rPr>
          <w:spacing w:val="-3"/>
        </w:rPr>
        <w:t>同一科研成果、</w:t>
      </w:r>
      <w:r>
        <w:rPr>
          <w:spacing w:val="-45"/>
        </w:rPr>
        <w:t xml:space="preserve"> </w:t>
      </w:r>
      <w:r>
        <w:rPr>
          <w:spacing w:val="-3"/>
        </w:rPr>
        <w:t>内容、项目获不同级别、不同类型的奖励</w:t>
      </w:r>
      <w:r>
        <w:rPr>
          <w:spacing w:val="-33"/>
        </w:rPr>
        <w:t xml:space="preserve"> </w:t>
      </w:r>
      <w:r>
        <w:rPr>
          <w:spacing w:val="-3"/>
        </w:rPr>
        <w:t>，以最高分计</w:t>
      </w:r>
      <w:r>
        <w:rPr>
          <w:spacing w:val="-34"/>
        </w:rPr>
        <w:t xml:space="preserve"> </w:t>
      </w:r>
      <w:r>
        <w:rPr>
          <w:spacing w:val="-3"/>
        </w:rPr>
        <w:t>，不累加。</w:t>
      </w:r>
    </w:p>
    <w:p w14:paraId="5EC7FA6E">
      <w:pPr>
        <w:pStyle w:val="2"/>
        <w:spacing w:line="304" w:lineRule="auto"/>
        <w:ind w:firstLine="518"/>
      </w:pP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3"/>
        </w:rPr>
        <w:t>3</w:t>
      </w:r>
      <w:r>
        <w:rPr>
          <w:spacing w:val="-3"/>
        </w:rPr>
        <w:t>）课题仅立项、未结题</w:t>
      </w:r>
      <w:r>
        <w:rPr>
          <w:spacing w:val="-23"/>
        </w:rPr>
        <w:t xml:space="preserve"> </w:t>
      </w:r>
      <w:r>
        <w:rPr>
          <w:spacing w:val="-3"/>
        </w:rPr>
        <w:t>，须提供课题立项相关证明，加分</w:t>
      </w:r>
      <w:r>
        <w:rPr>
          <w:rFonts w:ascii="Times New Roman" w:hAnsi="Times New Roman" w:eastAsia="Times New Roman" w:cs="Times New Roman"/>
          <w:spacing w:val="-3"/>
        </w:rPr>
        <w:t>×50%</w:t>
      </w:r>
      <w:r>
        <w:rPr>
          <w:spacing w:val="-3"/>
        </w:rPr>
        <w:t>。课堂立项且结题</w:t>
      </w:r>
      <w:r>
        <w:rPr>
          <w:spacing w:val="-35"/>
        </w:rPr>
        <w:t xml:space="preserve"> </w:t>
      </w:r>
      <w:r>
        <w:rPr>
          <w:spacing w:val="-3"/>
        </w:rPr>
        <w:t>，须提供课题立项及结题相关证明</w:t>
      </w:r>
      <w:r>
        <w:rPr>
          <w:spacing w:val="-35"/>
        </w:rPr>
        <w:t xml:space="preserve"> </w:t>
      </w:r>
      <w:r>
        <w:rPr>
          <w:spacing w:val="-3"/>
        </w:rPr>
        <w:t>，加分为</w:t>
      </w:r>
      <w:r>
        <w:rPr>
          <w:rFonts w:ascii="Times New Roman" w:hAnsi="Times New Roman" w:eastAsia="Times New Roman" w:cs="Times New Roman"/>
          <w:spacing w:val="-3"/>
        </w:rPr>
        <w:t>100</w:t>
      </w:r>
      <w:r>
        <w:rPr>
          <w:rFonts w:ascii="Times New Roman" w:hAnsi="Times New Roman" w:eastAsia="Times New Roman" w:cs="Times New Roman"/>
          <w:spacing w:val="-4"/>
        </w:rPr>
        <w:t>%</w:t>
      </w:r>
      <w:r>
        <w:rPr>
          <w:spacing w:val="-4"/>
        </w:rPr>
        <w:t>。</w:t>
      </w:r>
    </w:p>
    <w:p w14:paraId="310EC9D8">
      <w:pPr>
        <w:pStyle w:val="2"/>
        <w:spacing w:before="5" w:line="302" w:lineRule="auto"/>
        <w:ind w:left="1" w:firstLine="516"/>
      </w:pPr>
      <w:r>
        <w:rPr>
          <w:spacing w:val="-5"/>
        </w:rPr>
        <w:t>（</w:t>
      </w:r>
      <w:r>
        <w:rPr>
          <w:rFonts w:ascii="Times New Roman" w:hAnsi="Times New Roman" w:eastAsia="Times New Roman" w:cs="Times New Roman"/>
          <w:spacing w:val="-4"/>
        </w:rPr>
        <w:t>4</w:t>
      </w:r>
      <w:r>
        <w:rPr>
          <w:spacing w:val="-4"/>
        </w:rPr>
        <w:t>）学生参与导师科研项目</w:t>
      </w:r>
      <w:r>
        <w:rPr>
          <w:rFonts w:hint="eastAsia"/>
          <w:spacing w:val="-4"/>
          <w:lang w:eastAsia="zh-CN"/>
        </w:rPr>
        <w:t>且</w:t>
      </w:r>
      <w:r>
        <w:rPr>
          <w:spacing w:val="-4"/>
        </w:rPr>
        <w:t>仅有导师签名证明的项目，国家级项目</w:t>
      </w:r>
      <w:r>
        <w:rPr>
          <w:rFonts w:ascii="Times New Roman" w:hAnsi="Times New Roman" w:eastAsia="Times New Roman" w:cs="Times New Roman"/>
          <w:spacing w:val="-5"/>
        </w:rPr>
        <w:t>5</w:t>
      </w:r>
      <w:r>
        <w:rPr>
          <w:spacing w:val="-5"/>
        </w:rPr>
        <w:t>分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项、</w:t>
      </w:r>
      <w:r>
        <w:rPr>
          <w:spacing w:val="-4"/>
        </w:rPr>
        <w:t>省</w:t>
      </w:r>
      <w:r>
        <w:rPr>
          <w:spacing w:val="-2"/>
        </w:rPr>
        <w:t>部级项目</w:t>
      </w:r>
      <w:r>
        <w:rPr>
          <w:rFonts w:ascii="Times New Roman" w:hAnsi="Times New Roman" w:eastAsia="Times New Roman" w:cs="Times New Roman"/>
          <w:spacing w:val="-2"/>
        </w:rPr>
        <w:t>3</w:t>
      </w:r>
      <w:r>
        <w:rPr>
          <w:spacing w:val="-2"/>
        </w:rPr>
        <w:t>分</w:t>
      </w:r>
      <w:r>
        <w:rPr>
          <w:rFonts w:ascii="Times New Roman" w:hAnsi="Times New Roman" w:eastAsia="Times New Roman" w:cs="Times New Roman"/>
          <w:spacing w:val="-2"/>
        </w:rPr>
        <w:t>/</w:t>
      </w:r>
      <w:r>
        <w:rPr>
          <w:spacing w:val="-2"/>
        </w:rPr>
        <w:t>项、厅局以下（含校级）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分</w:t>
      </w:r>
      <w:r>
        <w:rPr>
          <w:rFonts w:ascii="Times New Roman" w:hAnsi="Times New Roman" w:eastAsia="Times New Roman" w:cs="Times New Roman"/>
          <w:spacing w:val="-2"/>
        </w:rPr>
        <w:t>/</w:t>
      </w:r>
      <w:r>
        <w:rPr>
          <w:spacing w:val="-2"/>
        </w:rPr>
        <w:t>项，累计不超过</w:t>
      </w:r>
      <w:r>
        <w:rPr>
          <w:rFonts w:ascii="Times New Roman" w:hAnsi="Times New Roman" w:eastAsia="Times New Roman" w:cs="Times New Roman"/>
          <w:spacing w:val="-2"/>
        </w:rPr>
        <w:t>3</w:t>
      </w:r>
      <w:r>
        <w:rPr>
          <w:spacing w:val="-2"/>
        </w:rPr>
        <w:t>项。具体等级依据责任单位</w:t>
      </w:r>
      <w:r>
        <w:rPr>
          <w:spacing w:val="-1"/>
        </w:rPr>
        <w:t>的行政级别进行认定。</w:t>
      </w:r>
    </w:p>
    <w:p w14:paraId="12E66C19">
      <w:pPr>
        <w:pStyle w:val="2"/>
        <w:spacing w:before="52" w:line="182" w:lineRule="auto"/>
        <w:ind w:left="481"/>
      </w:pPr>
      <w:r>
        <w:rPr>
          <w:b/>
          <w:bCs/>
          <w:spacing w:val="-1"/>
        </w:rPr>
        <w:t>论文著作：</w:t>
      </w:r>
    </w:p>
    <w:p w14:paraId="4DA90C1C">
      <w:pPr>
        <w:pStyle w:val="2"/>
        <w:spacing w:before="164" w:line="221" w:lineRule="auto"/>
        <w:ind w:left="518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1</w:t>
      </w:r>
      <w:r>
        <w:rPr>
          <w:spacing w:val="-2"/>
        </w:rPr>
        <w:t>）加分依据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spacing w:val="-2"/>
        </w:rPr>
        <w:t>多人合作完成的成果分摊系数表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spacing w:val="-2"/>
        </w:rPr>
        <w:t>进行计算。</w:t>
      </w:r>
    </w:p>
    <w:p w14:paraId="7CBCB308">
      <w:pPr>
        <w:pStyle w:val="2"/>
        <w:spacing w:before="142" w:line="221" w:lineRule="auto"/>
        <w:ind w:left="518"/>
      </w:pP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3"/>
        </w:rPr>
        <w:t>2</w:t>
      </w:r>
      <w:r>
        <w:rPr>
          <w:spacing w:val="-3"/>
        </w:rPr>
        <w:t>）同一论文被不同刊物收录（转载</w:t>
      </w:r>
      <w:r>
        <w:rPr>
          <w:spacing w:val="-12"/>
        </w:rPr>
        <w:t>）</w:t>
      </w:r>
      <w:r>
        <w:rPr>
          <w:spacing w:val="-33"/>
        </w:rPr>
        <w:t xml:space="preserve"> </w:t>
      </w:r>
      <w:r>
        <w:rPr>
          <w:spacing w:val="-12"/>
        </w:rPr>
        <w:t>，</w:t>
      </w:r>
      <w:r>
        <w:rPr>
          <w:spacing w:val="-3"/>
        </w:rPr>
        <w:t>以最高级别刊物计分</w:t>
      </w:r>
      <w:r>
        <w:rPr>
          <w:spacing w:val="-35"/>
        </w:rPr>
        <w:t xml:space="preserve"> </w:t>
      </w:r>
      <w:r>
        <w:rPr>
          <w:spacing w:val="-3"/>
        </w:rPr>
        <w:t>，不累加。</w:t>
      </w:r>
    </w:p>
    <w:p w14:paraId="43F05834">
      <w:pPr>
        <w:pStyle w:val="2"/>
        <w:spacing w:before="143" w:line="304" w:lineRule="auto"/>
        <w:ind w:left="2" w:firstLine="515"/>
      </w:pP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2"/>
        </w:rPr>
        <w:t>3</w:t>
      </w:r>
      <w:r>
        <w:rPr>
          <w:spacing w:val="-2"/>
        </w:rPr>
        <w:t>）同一学生</w:t>
      </w:r>
      <w:r>
        <w:rPr>
          <w:spacing w:val="-35"/>
        </w:rPr>
        <w:t xml:space="preserve"> </w:t>
      </w:r>
      <w:r>
        <w:rPr>
          <w:spacing w:val="-2"/>
        </w:rPr>
        <w:t>，</w:t>
      </w:r>
      <w:r>
        <w:rPr>
          <w:rFonts w:ascii="Times New Roman" w:hAnsi="Times New Roman" w:eastAsia="Times New Roman" w:cs="Times New Roman"/>
          <w:spacing w:val="-2"/>
        </w:rPr>
        <w:t>“</w:t>
      </w:r>
      <w:r>
        <w:rPr>
          <w:spacing w:val="-2"/>
        </w:rPr>
        <w:t>普通期刊</w:t>
      </w:r>
      <w:r>
        <w:rPr>
          <w:rFonts w:ascii="Times New Roman" w:hAnsi="Times New Roman" w:eastAsia="Times New Roman" w:cs="Times New Roman"/>
          <w:spacing w:val="-2"/>
        </w:rPr>
        <w:t>”</w:t>
      </w:r>
      <w:r>
        <w:rPr>
          <w:spacing w:val="-2"/>
        </w:rPr>
        <w:t>论文加分不超</w:t>
      </w:r>
      <w:r>
        <w:rPr>
          <w:spacing w:val="-3"/>
        </w:rPr>
        <w:t>过</w:t>
      </w:r>
      <w:r>
        <w:rPr>
          <w:rFonts w:ascii="Times New Roman" w:hAnsi="Times New Roman" w:eastAsia="Times New Roman" w:cs="Times New Roman"/>
          <w:spacing w:val="-3"/>
        </w:rPr>
        <w:t>3</w:t>
      </w:r>
      <w:r>
        <w:rPr>
          <w:spacing w:val="-3"/>
        </w:rPr>
        <w:t>篇，单篇论文须满足字数在</w:t>
      </w:r>
      <w:r>
        <w:rPr>
          <w:rFonts w:ascii="Times New Roman" w:hAnsi="Times New Roman" w:eastAsia="Times New Roman" w:cs="Times New Roman"/>
          <w:spacing w:val="-3"/>
        </w:rPr>
        <w:t>5000</w:t>
      </w:r>
      <w:r>
        <w:rPr>
          <w:spacing w:val="-3"/>
        </w:rPr>
        <w:t>字</w:t>
      </w:r>
      <w:r>
        <w:rPr>
          <w:spacing w:val="-2"/>
        </w:rPr>
        <w:t>以</w:t>
      </w:r>
      <w:r>
        <w:rPr>
          <w:spacing w:val="-5"/>
        </w:rPr>
        <w:t>上</w:t>
      </w:r>
      <w:r>
        <w:rPr>
          <w:spacing w:val="-24"/>
        </w:rPr>
        <w:t xml:space="preserve"> </w:t>
      </w:r>
      <w:r>
        <w:rPr>
          <w:spacing w:val="-5"/>
        </w:rPr>
        <w:t>，在</w:t>
      </w:r>
      <w:r>
        <w:rPr>
          <w:rFonts w:ascii="Times New Roman" w:hAnsi="Times New Roman" w:eastAsia="Times New Roman" w:cs="Times New Roman"/>
          <w:spacing w:val="-5"/>
        </w:rPr>
        <w:t>“</w:t>
      </w:r>
      <w:r>
        <w:rPr>
          <w:rFonts w:ascii="Times New Roman" w:hAnsi="Times New Roman" w:eastAsia="Times New Roman" w:cs="Times New Roman"/>
          <w:spacing w:val="-39"/>
        </w:rPr>
        <w:t xml:space="preserve"> </w:t>
      </w:r>
      <w:r>
        <w:rPr>
          <w:spacing w:val="-5"/>
        </w:rPr>
        <w:t>中国知网</w:t>
      </w:r>
      <w:r>
        <w:rPr>
          <w:rFonts w:ascii="Times New Roman" w:hAnsi="Times New Roman" w:eastAsia="Times New Roman" w:cs="Times New Roman"/>
          <w:spacing w:val="-5"/>
        </w:rPr>
        <w:t>”</w:t>
      </w:r>
      <w:r>
        <w:rPr>
          <w:spacing w:val="-5"/>
        </w:rPr>
        <w:t>平台可检索。</w:t>
      </w:r>
    </w:p>
    <w:p w14:paraId="7826410C">
      <w:pPr>
        <w:pStyle w:val="2"/>
        <w:spacing w:before="1" w:line="220" w:lineRule="auto"/>
        <w:ind w:left="518"/>
      </w:pP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3"/>
        </w:rPr>
        <w:t>4</w:t>
      </w:r>
      <w:r>
        <w:rPr>
          <w:spacing w:val="-3"/>
        </w:rPr>
        <w:t>）刊物级别认定参照学校学术期刊目录。</w:t>
      </w:r>
    </w:p>
    <w:p w14:paraId="735AAF56">
      <w:pPr>
        <w:spacing w:line="220" w:lineRule="auto"/>
        <w:sectPr>
          <w:footerReference r:id="rId8" w:type="default"/>
          <w:pgSz w:w="11906" w:h="16839"/>
          <w:pgMar w:top="1416" w:right="1417" w:bottom="1110" w:left="1419" w:header="0" w:footer="836" w:gutter="0"/>
          <w:cols w:space="720" w:num="1"/>
        </w:sectPr>
      </w:pPr>
    </w:p>
    <w:p w14:paraId="16397577">
      <w:pPr>
        <w:pStyle w:val="2"/>
        <w:spacing w:before="165" w:line="183" w:lineRule="auto"/>
        <w:ind w:left="2850"/>
      </w:pPr>
      <w:r>
        <w:rPr>
          <w:b/>
          <w:bCs/>
          <w:spacing w:val="-1"/>
        </w:rPr>
        <w:t>多人合作完成的成果分摊系数表</w:t>
      </w:r>
    </w:p>
    <w:p w14:paraId="1BA201B3">
      <w:pPr>
        <w:spacing w:line="129" w:lineRule="exact"/>
      </w:pPr>
    </w:p>
    <w:tbl>
      <w:tblPr>
        <w:tblStyle w:val="5"/>
        <w:tblW w:w="8112" w:type="dxa"/>
        <w:tblInd w:w="47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5"/>
        <w:gridCol w:w="1028"/>
        <w:gridCol w:w="1029"/>
        <w:gridCol w:w="1029"/>
        <w:gridCol w:w="1029"/>
        <w:gridCol w:w="1029"/>
        <w:gridCol w:w="1733"/>
      </w:tblGrid>
      <w:tr w14:paraId="7A7880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235" w:type="dxa"/>
            <w:vMerge w:val="restart"/>
            <w:tcBorders>
              <w:bottom w:val="nil"/>
            </w:tcBorders>
            <w:vAlign w:val="top"/>
          </w:tcPr>
          <w:p w14:paraId="025788E4">
            <w:pPr>
              <w:spacing w:line="398" w:lineRule="auto"/>
              <w:rPr>
                <w:rFonts w:ascii="Arial"/>
                <w:sz w:val="21"/>
              </w:rPr>
            </w:pPr>
          </w:p>
          <w:p w14:paraId="433D1158">
            <w:pPr>
              <w:spacing w:before="103" w:line="183" w:lineRule="auto"/>
              <w:ind w:left="138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完成人数</w:t>
            </w:r>
          </w:p>
        </w:tc>
        <w:tc>
          <w:tcPr>
            <w:tcW w:w="6877" w:type="dxa"/>
            <w:gridSpan w:val="6"/>
            <w:vAlign w:val="top"/>
          </w:tcPr>
          <w:p w14:paraId="19076002">
            <w:pPr>
              <w:spacing w:before="187" w:line="183" w:lineRule="auto"/>
              <w:ind w:left="3077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排</w:t>
            </w:r>
            <w:r>
              <w:rPr>
                <w:rFonts w:ascii="微软雅黑" w:hAnsi="微软雅黑" w:eastAsia="微软雅黑" w:cs="微软雅黑"/>
                <w:spacing w:val="10"/>
                <w:sz w:val="24"/>
                <w:szCs w:val="24"/>
              </w:rPr>
              <w:t xml:space="preserve">   </w:t>
            </w:r>
            <w:r>
              <w:rPr>
                <w:rFonts w:ascii="微软雅黑" w:hAnsi="微软雅黑" w:eastAsia="微软雅黑" w:cs="微软雅黑"/>
                <w:spacing w:val="-2"/>
                <w:sz w:val="24"/>
                <w:szCs w:val="24"/>
              </w:rPr>
              <w:t>位</w:t>
            </w:r>
          </w:p>
        </w:tc>
      </w:tr>
      <w:tr w14:paraId="4EB22B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235" w:type="dxa"/>
            <w:vMerge w:val="continue"/>
            <w:tcBorders>
              <w:top w:val="nil"/>
            </w:tcBorders>
            <w:vAlign w:val="top"/>
          </w:tcPr>
          <w:p w14:paraId="0106310E">
            <w:pPr>
              <w:rPr>
                <w:rFonts w:ascii="Arial"/>
                <w:sz w:val="21"/>
              </w:rPr>
            </w:pPr>
          </w:p>
        </w:tc>
        <w:tc>
          <w:tcPr>
            <w:tcW w:w="1028" w:type="dxa"/>
            <w:vAlign w:val="top"/>
          </w:tcPr>
          <w:p w14:paraId="21A03DF4">
            <w:pPr>
              <w:pStyle w:val="6"/>
              <w:spacing w:before="234" w:line="188" w:lineRule="auto"/>
              <w:ind w:left="4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29" w:type="dxa"/>
            <w:vAlign w:val="top"/>
          </w:tcPr>
          <w:p w14:paraId="152219D6">
            <w:pPr>
              <w:pStyle w:val="6"/>
              <w:spacing w:before="234" w:line="188" w:lineRule="auto"/>
              <w:ind w:left="4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9" w:type="dxa"/>
            <w:vAlign w:val="top"/>
          </w:tcPr>
          <w:p w14:paraId="19042DD4">
            <w:pPr>
              <w:pStyle w:val="6"/>
              <w:spacing w:before="234" w:line="188" w:lineRule="auto"/>
              <w:ind w:left="4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9" w:type="dxa"/>
            <w:vAlign w:val="top"/>
          </w:tcPr>
          <w:p w14:paraId="104981CD">
            <w:pPr>
              <w:pStyle w:val="6"/>
              <w:spacing w:before="234" w:line="188" w:lineRule="auto"/>
              <w:ind w:left="4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top"/>
          </w:tcPr>
          <w:p w14:paraId="21D5D791">
            <w:pPr>
              <w:pStyle w:val="6"/>
              <w:spacing w:before="237" w:line="185" w:lineRule="auto"/>
              <w:ind w:left="46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33" w:type="dxa"/>
            <w:vAlign w:val="top"/>
          </w:tcPr>
          <w:p w14:paraId="7E547835">
            <w:pPr>
              <w:pStyle w:val="6"/>
              <w:spacing w:before="184" w:line="182" w:lineRule="auto"/>
              <w:ind w:left="424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6 </w:t>
            </w: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及以后</w:t>
            </w:r>
          </w:p>
        </w:tc>
      </w:tr>
      <w:tr w14:paraId="3DFA4A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235" w:type="dxa"/>
            <w:vAlign w:val="top"/>
          </w:tcPr>
          <w:p w14:paraId="314BE01E">
            <w:pPr>
              <w:pStyle w:val="6"/>
              <w:spacing w:before="158" w:line="188" w:lineRule="auto"/>
              <w:ind w:left="5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28" w:type="dxa"/>
            <w:vAlign w:val="top"/>
          </w:tcPr>
          <w:p w14:paraId="209071E2">
            <w:pPr>
              <w:pStyle w:val="6"/>
              <w:spacing w:before="158" w:line="188" w:lineRule="auto"/>
              <w:ind w:left="4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29" w:type="dxa"/>
            <w:vAlign w:val="top"/>
          </w:tcPr>
          <w:p w14:paraId="2F177C00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6ED0E8C2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0D01EB1B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48E31B0F">
            <w:pPr>
              <w:rPr>
                <w:rFonts w:ascii="Arial"/>
                <w:sz w:val="21"/>
              </w:rPr>
            </w:pPr>
          </w:p>
        </w:tc>
        <w:tc>
          <w:tcPr>
            <w:tcW w:w="1733" w:type="dxa"/>
            <w:vAlign w:val="top"/>
          </w:tcPr>
          <w:p w14:paraId="75D3C9B7">
            <w:pPr>
              <w:rPr>
                <w:rFonts w:ascii="Arial"/>
                <w:sz w:val="21"/>
              </w:rPr>
            </w:pPr>
          </w:p>
        </w:tc>
      </w:tr>
      <w:tr w14:paraId="72BCF9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235" w:type="dxa"/>
            <w:vAlign w:val="top"/>
          </w:tcPr>
          <w:p w14:paraId="6AC935D5">
            <w:pPr>
              <w:pStyle w:val="6"/>
              <w:spacing w:before="158" w:line="188" w:lineRule="auto"/>
              <w:ind w:left="5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8" w:type="dxa"/>
            <w:vAlign w:val="top"/>
          </w:tcPr>
          <w:p w14:paraId="3FB2BFD0">
            <w:pPr>
              <w:pStyle w:val="6"/>
              <w:spacing w:before="158" w:line="188" w:lineRule="auto"/>
              <w:ind w:left="36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0.6</w:t>
            </w:r>
          </w:p>
        </w:tc>
        <w:tc>
          <w:tcPr>
            <w:tcW w:w="1029" w:type="dxa"/>
            <w:vAlign w:val="top"/>
          </w:tcPr>
          <w:p w14:paraId="74658D98">
            <w:pPr>
              <w:pStyle w:val="6"/>
              <w:spacing w:before="158" w:line="188" w:lineRule="auto"/>
              <w:ind w:left="37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0.4</w:t>
            </w:r>
          </w:p>
        </w:tc>
        <w:tc>
          <w:tcPr>
            <w:tcW w:w="1029" w:type="dxa"/>
            <w:vAlign w:val="top"/>
          </w:tcPr>
          <w:p w14:paraId="063A3B26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6C00C44C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795AF72C">
            <w:pPr>
              <w:rPr>
                <w:rFonts w:ascii="Arial"/>
                <w:sz w:val="21"/>
              </w:rPr>
            </w:pPr>
          </w:p>
        </w:tc>
        <w:tc>
          <w:tcPr>
            <w:tcW w:w="1733" w:type="dxa"/>
            <w:vAlign w:val="top"/>
          </w:tcPr>
          <w:p w14:paraId="0B956B39">
            <w:pPr>
              <w:rPr>
                <w:rFonts w:ascii="Arial"/>
                <w:sz w:val="21"/>
              </w:rPr>
            </w:pPr>
          </w:p>
        </w:tc>
      </w:tr>
      <w:tr w14:paraId="688518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235" w:type="dxa"/>
            <w:vAlign w:val="top"/>
          </w:tcPr>
          <w:p w14:paraId="13AF7C52">
            <w:pPr>
              <w:pStyle w:val="6"/>
              <w:spacing w:before="159" w:line="188" w:lineRule="auto"/>
              <w:ind w:left="5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8" w:type="dxa"/>
            <w:vAlign w:val="top"/>
          </w:tcPr>
          <w:p w14:paraId="7BAEEBE4">
            <w:pPr>
              <w:pStyle w:val="6"/>
              <w:spacing w:before="159" w:line="188" w:lineRule="auto"/>
              <w:ind w:left="36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0.5</w:t>
            </w:r>
          </w:p>
        </w:tc>
        <w:tc>
          <w:tcPr>
            <w:tcW w:w="1029" w:type="dxa"/>
            <w:vAlign w:val="top"/>
          </w:tcPr>
          <w:p w14:paraId="5285D2F6">
            <w:pPr>
              <w:pStyle w:val="6"/>
              <w:spacing w:before="159" w:line="188" w:lineRule="auto"/>
              <w:ind w:left="37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0.3</w:t>
            </w:r>
          </w:p>
        </w:tc>
        <w:tc>
          <w:tcPr>
            <w:tcW w:w="1029" w:type="dxa"/>
            <w:vAlign w:val="top"/>
          </w:tcPr>
          <w:p w14:paraId="526FD0CE">
            <w:pPr>
              <w:pStyle w:val="6"/>
              <w:spacing w:before="159" w:line="188" w:lineRule="auto"/>
              <w:ind w:left="37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0.2</w:t>
            </w:r>
          </w:p>
        </w:tc>
        <w:tc>
          <w:tcPr>
            <w:tcW w:w="1029" w:type="dxa"/>
            <w:vAlign w:val="top"/>
          </w:tcPr>
          <w:p w14:paraId="51E53E55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4ED0FB5E">
            <w:pPr>
              <w:rPr>
                <w:rFonts w:ascii="Arial"/>
                <w:sz w:val="21"/>
              </w:rPr>
            </w:pPr>
          </w:p>
        </w:tc>
        <w:tc>
          <w:tcPr>
            <w:tcW w:w="1733" w:type="dxa"/>
            <w:vAlign w:val="top"/>
          </w:tcPr>
          <w:p w14:paraId="05ADF81F">
            <w:pPr>
              <w:rPr>
                <w:rFonts w:ascii="Arial"/>
                <w:sz w:val="21"/>
              </w:rPr>
            </w:pPr>
          </w:p>
        </w:tc>
      </w:tr>
      <w:tr w14:paraId="03ADA5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235" w:type="dxa"/>
            <w:vAlign w:val="top"/>
          </w:tcPr>
          <w:p w14:paraId="20CCC7FD">
            <w:pPr>
              <w:pStyle w:val="6"/>
              <w:spacing w:before="158" w:line="188" w:lineRule="auto"/>
              <w:ind w:left="5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8" w:type="dxa"/>
            <w:vAlign w:val="top"/>
          </w:tcPr>
          <w:p w14:paraId="43548267">
            <w:pPr>
              <w:pStyle w:val="6"/>
              <w:spacing w:before="158" w:line="188" w:lineRule="auto"/>
              <w:ind w:left="36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0.4</w:t>
            </w:r>
          </w:p>
        </w:tc>
        <w:tc>
          <w:tcPr>
            <w:tcW w:w="1029" w:type="dxa"/>
            <w:vAlign w:val="top"/>
          </w:tcPr>
          <w:p w14:paraId="11FA43C4">
            <w:pPr>
              <w:pStyle w:val="6"/>
              <w:spacing w:before="158" w:line="188" w:lineRule="auto"/>
              <w:ind w:left="37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0.3</w:t>
            </w:r>
          </w:p>
        </w:tc>
        <w:tc>
          <w:tcPr>
            <w:tcW w:w="1029" w:type="dxa"/>
            <w:vAlign w:val="top"/>
          </w:tcPr>
          <w:p w14:paraId="05F71E10">
            <w:pPr>
              <w:pStyle w:val="6"/>
              <w:spacing w:before="158" w:line="188" w:lineRule="auto"/>
              <w:ind w:left="37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0.2</w:t>
            </w:r>
          </w:p>
        </w:tc>
        <w:tc>
          <w:tcPr>
            <w:tcW w:w="1029" w:type="dxa"/>
            <w:vAlign w:val="top"/>
          </w:tcPr>
          <w:p w14:paraId="65465F0B">
            <w:pPr>
              <w:pStyle w:val="6"/>
              <w:spacing w:before="158" w:line="188" w:lineRule="auto"/>
              <w:ind w:left="37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0.1</w:t>
            </w:r>
          </w:p>
        </w:tc>
        <w:tc>
          <w:tcPr>
            <w:tcW w:w="1029" w:type="dxa"/>
            <w:vAlign w:val="top"/>
          </w:tcPr>
          <w:p w14:paraId="7957C022">
            <w:pPr>
              <w:rPr>
                <w:rFonts w:ascii="Arial"/>
                <w:sz w:val="21"/>
              </w:rPr>
            </w:pPr>
          </w:p>
        </w:tc>
        <w:tc>
          <w:tcPr>
            <w:tcW w:w="1733" w:type="dxa"/>
            <w:vAlign w:val="top"/>
          </w:tcPr>
          <w:p w14:paraId="553FC722">
            <w:pPr>
              <w:rPr>
                <w:rFonts w:ascii="Arial"/>
                <w:sz w:val="21"/>
              </w:rPr>
            </w:pPr>
          </w:p>
        </w:tc>
      </w:tr>
      <w:tr w14:paraId="6BC916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235" w:type="dxa"/>
            <w:vAlign w:val="top"/>
          </w:tcPr>
          <w:p w14:paraId="492C07AC">
            <w:pPr>
              <w:pStyle w:val="6"/>
              <w:spacing w:before="161" w:line="185" w:lineRule="auto"/>
              <w:ind w:left="56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28" w:type="dxa"/>
            <w:vAlign w:val="top"/>
          </w:tcPr>
          <w:p w14:paraId="5CF75D15">
            <w:pPr>
              <w:pStyle w:val="6"/>
              <w:spacing w:before="158" w:line="188" w:lineRule="auto"/>
              <w:ind w:left="36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0.4</w:t>
            </w:r>
          </w:p>
        </w:tc>
        <w:tc>
          <w:tcPr>
            <w:tcW w:w="1029" w:type="dxa"/>
            <w:vAlign w:val="top"/>
          </w:tcPr>
          <w:p w14:paraId="5B17B6F8">
            <w:pPr>
              <w:pStyle w:val="6"/>
              <w:spacing w:before="158" w:line="188" w:lineRule="auto"/>
              <w:ind w:left="37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0.3</w:t>
            </w:r>
          </w:p>
        </w:tc>
        <w:tc>
          <w:tcPr>
            <w:tcW w:w="1029" w:type="dxa"/>
            <w:vAlign w:val="top"/>
          </w:tcPr>
          <w:p w14:paraId="591A9E3F">
            <w:pPr>
              <w:pStyle w:val="6"/>
              <w:spacing w:before="158" w:line="188" w:lineRule="auto"/>
              <w:ind w:left="31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0.15</w:t>
            </w:r>
          </w:p>
        </w:tc>
        <w:tc>
          <w:tcPr>
            <w:tcW w:w="1029" w:type="dxa"/>
            <w:vAlign w:val="top"/>
          </w:tcPr>
          <w:p w14:paraId="01F9DC88">
            <w:pPr>
              <w:pStyle w:val="6"/>
              <w:spacing w:before="158" w:line="188" w:lineRule="auto"/>
              <w:ind w:left="37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0.1</w:t>
            </w:r>
          </w:p>
        </w:tc>
        <w:tc>
          <w:tcPr>
            <w:tcW w:w="1029" w:type="dxa"/>
            <w:vAlign w:val="top"/>
          </w:tcPr>
          <w:p w14:paraId="288ABE8B">
            <w:pPr>
              <w:pStyle w:val="6"/>
              <w:spacing w:before="158" w:line="188" w:lineRule="auto"/>
              <w:ind w:left="31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0.05</w:t>
            </w:r>
          </w:p>
        </w:tc>
        <w:tc>
          <w:tcPr>
            <w:tcW w:w="1733" w:type="dxa"/>
            <w:vAlign w:val="top"/>
          </w:tcPr>
          <w:p w14:paraId="4EEA71C4">
            <w:pPr>
              <w:rPr>
                <w:rFonts w:ascii="Arial"/>
                <w:sz w:val="21"/>
              </w:rPr>
            </w:pPr>
          </w:p>
        </w:tc>
      </w:tr>
      <w:tr w14:paraId="55BD97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235" w:type="dxa"/>
            <w:vAlign w:val="top"/>
          </w:tcPr>
          <w:p w14:paraId="3F0B4409">
            <w:pPr>
              <w:pStyle w:val="6"/>
              <w:spacing w:before="188" w:line="182" w:lineRule="auto"/>
              <w:ind w:left="175"/>
              <w:rPr>
                <w:rFonts w:ascii="微软雅黑" w:hAnsi="微软雅黑" w:eastAsia="微软雅黑" w:cs="微软雅黑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6 </w:t>
            </w:r>
            <w:r>
              <w:rPr>
                <w:rFonts w:ascii="微软雅黑" w:hAnsi="微软雅黑" w:eastAsia="微软雅黑" w:cs="微软雅黑"/>
                <w:spacing w:val="-3"/>
                <w:sz w:val="24"/>
                <w:szCs w:val="24"/>
              </w:rPr>
              <w:t>及以上</w:t>
            </w:r>
          </w:p>
        </w:tc>
        <w:tc>
          <w:tcPr>
            <w:tcW w:w="1028" w:type="dxa"/>
            <w:vAlign w:val="top"/>
          </w:tcPr>
          <w:p w14:paraId="44F9CEB3">
            <w:pPr>
              <w:pStyle w:val="6"/>
              <w:spacing w:before="238" w:line="188" w:lineRule="auto"/>
              <w:ind w:left="36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0.4</w:t>
            </w:r>
          </w:p>
        </w:tc>
        <w:tc>
          <w:tcPr>
            <w:tcW w:w="1029" w:type="dxa"/>
            <w:vAlign w:val="top"/>
          </w:tcPr>
          <w:p w14:paraId="5F92D64E">
            <w:pPr>
              <w:pStyle w:val="6"/>
              <w:spacing w:before="238" w:line="188" w:lineRule="auto"/>
              <w:ind w:left="37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0.3</w:t>
            </w:r>
          </w:p>
        </w:tc>
        <w:tc>
          <w:tcPr>
            <w:tcW w:w="1029" w:type="dxa"/>
            <w:vAlign w:val="top"/>
          </w:tcPr>
          <w:p w14:paraId="0A4A0BBF">
            <w:pPr>
              <w:pStyle w:val="6"/>
              <w:spacing w:before="238" w:line="188" w:lineRule="auto"/>
              <w:ind w:left="31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0.15</w:t>
            </w:r>
          </w:p>
        </w:tc>
        <w:tc>
          <w:tcPr>
            <w:tcW w:w="1029" w:type="dxa"/>
            <w:vAlign w:val="top"/>
          </w:tcPr>
          <w:p w14:paraId="3BE6BA94">
            <w:pPr>
              <w:pStyle w:val="6"/>
              <w:spacing w:before="238" w:line="188" w:lineRule="auto"/>
              <w:ind w:left="31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0.07</w:t>
            </w:r>
          </w:p>
        </w:tc>
        <w:tc>
          <w:tcPr>
            <w:tcW w:w="1029" w:type="dxa"/>
            <w:vAlign w:val="top"/>
          </w:tcPr>
          <w:p w14:paraId="17C0EFA3">
            <w:pPr>
              <w:pStyle w:val="6"/>
              <w:spacing w:before="238" w:line="188" w:lineRule="auto"/>
              <w:ind w:left="31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0.04</w:t>
            </w:r>
          </w:p>
        </w:tc>
        <w:tc>
          <w:tcPr>
            <w:tcW w:w="1733" w:type="dxa"/>
            <w:vAlign w:val="top"/>
          </w:tcPr>
          <w:p w14:paraId="5BCF35CC">
            <w:pPr>
              <w:pStyle w:val="6"/>
              <w:spacing w:before="238" w:line="188" w:lineRule="auto"/>
              <w:ind w:left="6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0.04</w:t>
            </w:r>
          </w:p>
        </w:tc>
      </w:tr>
    </w:tbl>
    <w:p w14:paraId="4FD2F3FE">
      <w:pPr>
        <w:spacing w:line="259" w:lineRule="auto"/>
        <w:rPr>
          <w:rFonts w:ascii="Arial"/>
          <w:sz w:val="21"/>
        </w:rPr>
      </w:pPr>
    </w:p>
    <w:p w14:paraId="323C465E">
      <w:pPr>
        <w:spacing w:line="260" w:lineRule="auto"/>
        <w:rPr>
          <w:rFonts w:ascii="Arial"/>
          <w:sz w:val="21"/>
        </w:rPr>
      </w:pPr>
    </w:p>
    <w:p w14:paraId="78129079">
      <w:pPr>
        <w:spacing w:before="101" w:line="226" w:lineRule="auto"/>
        <w:ind w:left="310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第四章</w:t>
      </w:r>
      <w:r>
        <w:rPr>
          <w:rFonts w:ascii="黑体" w:hAnsi="黑体" w:eastAsia="黑体" w:cs="黑体"/>
          <w:spacing w:val="6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奖学金评审机构</w:t>
      </w:r>
    </w:p>
    <w:p w14:paraId="045343BA">
      <w:pPr>
        <w:pStyle w:val="2"/>
        <w:spacing w:before="132" w:line="311" w:lineRule="auto"/>
        <w:ind w:firstLine="479"/>
        <w:jc w:val="both"/>
      </w:pPr>
      <w:r>
        <w:rPr>
          <w:b/>
          <w:bCs/>
          <w:spacing w:val="-5"/>
        </w:rPr>
        <w:t xml:space="preserve">第十条   </w:t>
      </w:r>
      <w:r>
        <w:rPr>
          <w:spacing w:val="-5"/>
        </w:rPr>
        <w:t>学院成立院研究生国家奖学金评审委员会，由学院院长、书记任主任委</w:t>
      </w:r>
      <w:r>
        <w:rPr>
          <w:spacing w:val="-6"/>
        </w:rPr>
        <w:t>员，分管副院长、副书记任副主任委员，研究生导师代表、研究生辅导员、研究生教学秘书、</w:t>
      </w:r>
      <w:r>
        <w:rPr>
          <w:spacing w:val="-2"/>
        </w:rPr>
        <w:t>研究生代表组成</w:t>
      </w:r>
      <w:r>
        <w:rPr>
          <w:spacing w:val="-28"/>
        </w:rPr>
        <w:t xml:space="preserve"> </w:t>
      </w:r>
      <w:r>
        <w:rPr>
          <w:spacing w:val="-2"/>
        </w:rPr>
        <w:t>，并报学校党委研究生工作部备案。</w:t>
      </w:r>
    </w:p>
    <w:p w14:paraId="16D985D8">
      <w:pPr>
        <w:spacing w:line="440" w:lineRule="auto"/>
        <w:rPr>
          <w:rFonts w:ascii="Arial"/>
          <w:sz w:val="21"/>
        </w:rPr>
      </w:pPr>
    </w:p>
    <w:p w14:paraId="08CEE11C">
      <w:pPr>
        <w:spacing w:before="101" w:line="226" w:lineRule="auto"/>
        <w:ind w:left="2298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第五章</w:t>
      </w:r>
      <w:r>
        <w:rPr>
          <w:rFonts w:ascii="黑体" w:hAnsi="黑体" w:eastAsia="黑体" w:cs="黑体"/>
          <w:spacing w:val="6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奖学金评审原则与程序</w:t>
      </w:r>
    </w:p>
    <w:p w14:paraId="638E2BBB">
      <w:pPr>
        <w:pStyle w:val="2"/>
        <w:spacing w:before="268" w:line="364" w:lineRule="auto"/>
        <w:ind w:firstLine="470"/>
        <w:jc w:val="both"/>
      </w:pPr>
      <w:r>
        <w:rPr>
          <w:b/>
          <w:bCs/>
          <w:spacing w:val="-5"/>
        </w:rPr>
        <w:t xml:space="preserve">第十一条   </w:t>
      </w:r>
      <w:r>
        <w:rPr>
          <w:spacing w:val="-5"/>
        </w:rPr>
        <w:t>研究生国家奖学金的评审工作，应坚持公开、公平、公正、择优的原则，</w:t>
      </w:r>
      <w:r>
        <w:rPr>
          <w:spacing w:val="-1"/>
        </w:rPr>
        <w:t>综合考虑研究生的科研及其他学习成果进行评定，严格执行</w:t>
      </w:r>
      <w:r>
        <w:rPr>
          <w:spacing w:val="-2"/>
        </w:rPr>
        <w:t>国家有关教育法规，杜绝弄</w:t>
      </w:r>
      <w:r>
        <w:rPr>
          <w:spacing w:val="-1"/>
        </w:rPr>
        <w:t>虚作假。</w:t>
      </w:r>
    </w:p>
    <w:p w14:paraId="51E3C31A">
      <w:pPr>
        <w:pStyle w:val="2"/>
        <w:spacing w:before="3" w:line="336" w:lineRule="auto"/>
        <w:ind w:right="67" w:firstLine="479"/>
      </w:pPr>
      <w:r>
        <w:rPr>
          <w:b/>
          <w:bCs/>
          <w:spacing w:val="-1"/>
        </w:rPr>
        <w:t xml:space="preserve">第十二条   </w:t>
      </w:r>
      <w:r>
        <w:rPr>
          <w:spacing w:val="-1"/>
        </w:rPr>
        <w:t>研究生国家奖学金与校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优秀研究生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奖同年度可兼评</w:t>
      </w:r>
      <w:r>
        <w:rPr>
          <w:spacing w:val="-30"/>
        </w:rPr>
        <w:t xml:space="preserve"> </w:t>
      </w:r>
      <w:r>
        <w:rPr>
          <w:spacing w:val="-1"/>
        </w:rPr>
        <w:t>，但奖金不兼得。对本年度已获得研究生国家奖学金的学生，下年度参评研</w:t>
      </w:r>
      <w:r>
        <w:rPr>
          <w:spacing w:val="-2"/>
        </w:rPr>
        <w:t>究生国家奖学金时其科研及其</w:t>
      </w:r>
      <w:r>
        <w:rPr>
          <w:spacing w:val="-1"/>
        </w:rPr>
        <w:t>他学习成果不得重复申报、认定。</w:t>
      </w:r>
    </w:p>
    <w:p w14:paraId="78304AEA">
      <w:pPr>
        <w:pStyle w:val="2"/>
        <w:spacing w:line="321" w:lineRule="auto"/>
        <w:ind w:left="3" w:right="67" w:firstLine="452"/>
        <w:jc w:val="both"/>
      </w:pPr>
      <w:r>
        <w:rPr>
          <w:b/>
          <w:bCs/>
        </w:rPr>
        <w:t xml:space="preserve">第十三条   </w:t>
      </w:r>
      <w:r>
        <w:t>研究生国家奖学金每年评审一次。凡符合本办法规定条件攻读硕士学位</w:t>
      </w:r>
      <w:r>
        <w:rPr>
          <w:spacing w:val="-1"/>
        </w:rPr>
        <w:t>的全日制非在职研究生均有资格申请。申请研究生</w:t>
      </w:r>
      <w:r>
        <w:rPr>
          <w:spacing w:val="-2"/>
        </w:rPr>
        <w:t>国家奖学金的研究生，本人应如实填</w:t>
      </w:r>
      <w:r>
        <w:rPr>
          <w:spacing w:val="-1"/>
        </w:rPr>
        <w:t>写《浙江工商大学研究生国家奖学金申请审批表》，</w:t>
      </w:r>
      <w:r>
        <w:rPr>
          <w:spacing w:val="-41"/>
        </w:rPr>
        <w:t xml:space="preserve"> </w:t>
      </w:r>
      <w:r>
        <w:rPr>
          <w:spacing w:val="-1"/>
        </w:rPr>
        <w:t>向学院评审委员会提出申请。</w:t>
      </w:r>
    </w:p>
    <w:p w14:paraId="439B4BEE">
      <w:pPr>
        <w:spacing w:line="321" w:lineRule="auto"/>
        <w:sectPr>
          <w:footerReference r:id="rId9" w:type="default"/>
          <w:pgSz w:w="11906" w:h="16839"/>
          <w:pgMar w:top="1431" w:right="1350" w:bottom="1106" w:left="1416" w:header="0" w:footer="836" w:gutter="0"/>
          <w:cols w:space="720" w:num="1"/>
        </w:sectPr>
      </w:pPr>
    </w:p>
    <w:p w14:paraId="643EC7EC">
      <w:pPr>
        <w:pStyle w:val="2"/>
        <w:spacing w:before="49" w:line="313" w:lineRule="auto"/>
        <w:ind w:left="15" w:firstLine="463"/>
      </w:pPr>
      <w:r>
        <w:rPr>
          <w:b/>
          <w:bCs/>
          <w:spacing w:val="-1"/>
        </w:rPr>
        <w:t xml:space="preserve">第十四条   </w:t>
      </w:r>
      <w:r>
        <w:rPr>
          <w:spacing w:val="-1"/>
        </w:rPr>
        <w:t>学术型硕士和专业型硕士分开测评和排序，具体名额分配由学院研究生</w:t>
      </w:r>
      <w:r>
        <w:rPr>
          <w:spacing w:val="-2"/>
        </w:rPr>
        <w:t>国家奖学金评审委员会确定。</w:t>
      </w:r>
    </w:p>
    <w:p w14:paraId="3D83C9B5">
      <w:pPr>
        <w:pStyle w:val="2"/>
        <w:spacing w:before="103" w:line="364" w:lineRule="auto"/>
        <w:ind w:left="1" w:firstLine="467"/>
      </w:pPr>
      <w:r>
        <w:rPr>
          <w:b/>
          <w:bCs/>
        </w:rPr>
        <w:t xml:space="preserve">第十五条   </w:t>
      </w:r>
      <w:r>
        <w:t>学院研究生国家奖学金评审委员会主</w:t>
      </w:r>
      <w:r>
        <w:rPr>
          <w:spacing w:val="-1"/>
        </w:rPr>
        <w:t>任委员负责组织初审，初审推荐名</w:t>
      </w:r>
      <w:r>
        <w:rPr>
          <w:spacing w:val="-2"/>
        </w:rPr>
        <w:t xml:space="preserve">单确定后，在学院内进行不少于 </w:t>
      </w:r>
      <w:r>
        <w:rPr>
          <w:rFonts w:ascii="Times New Roman" w:hAnsi="Times New Roman" w:eastAsia="Times New Roman" w:cs="Times New Roman"/>
          <w:spacing w:val="-2"/>
        </w:rPr>
        <w:t xml:space="preserve">5 </w:t>
      </w:r>
      <w:r>
        <w:rPr>
          <w:spacing w:val="-2"/>
        </w:rPr>
        <w:t>个工作日的公示。公示无异议后，提交校研究生国家</w:t>
      </w:r>
      <w:r>
        <w:rPr>
          <w:spacing w:val="-1"/>
        </w:rPr>
        <w:t>奖学金评审领导小组。</w:t>
      </w:r>
    </w:p>
    <w:p w14:paraId="3A066BB1">
      <w:pPr>
        <w:pStyle w:val="2"/>
        <w:spacing w:before="2" w:line="368" w:lineRule="auto"/>
        <w:ind w:left="1" w:firstLine="477"/>
      </w:pPr>
      <w:r>
        <w:rPr>
          <w:b/>
          <w:bCs/>
          <w:spacing w:val="-1"/>
        </w:rPr>
        <w:t xml:space="preserve">第十六条   </w:t>
      </w:r>
      <w:r>
        <w:rPr>
          <w:spacing w:val="-1"/>
        </w:rPr>
        <w:t>对研究生国家奖学金评审结果有异议的研究生，可在学院公示阶段向学院研究生国家奖学金评审委员会提出申诉，评审委员</w:t>
      </w:r>
      <w:r>
        <w:rPr>
          <w:spacing w:val="-2"/>
        </w:rPr>
        <w:t>会应及时予以答复和解决。如研究</w:t>
      </w:r>
      <w:r>
        <w:rPr>
          <w:spacing w:val="-1"/>
        </w:rPr>
        <w:t>生对学院做出的答复仍存在异议，可在学校公示阶段</w:t>
      </w:r>
      <w:r>
        <w:rPr>
          <w:spacing w:val="-2"/>
        </w:rPr>
        <w:t>向校研究生国家奖学金评审领导小</w:t>
      </w:r>
      <w:r>
        <w:rPr>
          <w:spacing w:val="-1"/>
        </w:rPr>
        <w:t>组提请裁决。</w:t>
      </w:r>
    </w:p>
    <w:p w14:paraId="7BEA8FA6">
      <w:pPr>
        <w:spacing w:line="463" w:lineRule="auto"/>
        <w:rPr>
          <w:rFonts w:ascii="Arial"/>
          <w:sz w:val="21"/>
        </w:rPr>
      </w:pPr>
    </w:p>
    <w:p w14:paraId="22911E8A">
      <w:pPr>
        <w:spacing w:before="101" w:line="226" w:lineRule="auto"/>
        <w:ind w:left="2619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第六章</w:t>
      </w:r>
      <w:r>
        <w:rPr>
          <w:rFonts w:ascii="黑体" w:hAnsi="黑体" w:eastAsia="黑体" w:cs="黑体"/>
          <w:spacing w:val="6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奖学金管理与监督</w:t>
      </w:r>
    </w:p>
    <w:p w14:paraId="2D84B8A4">
      <w:pPr>
        <w:pStyle w:val="2"/>
        <w:spacing w:before="130" w:line="304" w:lineRule="auto"/>
        <w:ind w:left="1" w:firstLine="453"/>
      </w:pPr>
      <w:r>
        <w:rPr>
          <w:b/>
          <w:bCs/>
        </w:rPr>
        <w:t xml:space="preserve">第十七条   </w:t>
      </w:r>
      <w:r>
        <w:t>学校按要求将当年研究生国家奖学金一次性发放给获奖研究生。学校将</w:t>
      </w:r>
      <w:r>
        <w:rPr>
          <w:spacing w:val="-1"/>
        </w:rPr>
        <w:t>研究生获得国家奖学金情况记入研究生学籍档案</w:t>
      </w:r>
      <w:r>
        <w:rPr>
          <w:spacing w:val="-35"/>
        </w:rPr>
        <w:t xml:space="preserve"> </w:t>
      </w:r>
      <w:r>
        <w:rPr>
          <w:spacing w:val="-1"/>
        </w:rPr>
        <w:t>，并颁发国家统一印制的荣</w:t>
      </w:r>
      <w:r>
        <w:rPr>
          <w:spacing w:val="-2"/>
        </w:rPr>
        <w:t>誉证书。</w:t>
      </w:r>
    </w:p>
    <w:p w14:paraId="13AE0AD9">
      <w:pPr>
        <w:pStyle w:val="2"/>
        <w:spacing w:before="4" w:line="309" w:lineRule="auto"/>
        <w:ind w:firstLine="455"/>
      </w:pPr>
      <w:r>
        <w:rPr>
          <w:b/>
          <w:bCs/>
        </w:rPr>
        <w:t xml:space="preserve">第十八条   </w:t>
      </w:r>
      <w:r>
        <w:t>学院高度重视，认真做好研究生国家奖学金的申请、初步评审与组织实</w:t>
      </w:r>
      <w:r>
        <w:rPr>
          <w:spacing w:val="-1"/>
        </w:rPr>
        <w:t>施相关工作，确保评选过程公平、公开、公正。评审过程</w:t>
      </w:r>
      <w:r>
        <w:rPr>
          <w:spacing w:val="-2"/>
        </w:rPr>
        <w:t>中若发现申请人有违反学术纪</w:t>
      </w:r>
      <w:r>
        <w:rPr>
          <w:spacing w:val="-1"/>
        </w:rPr>
        <w:t>律或弄虚作假行为，取消该生在本年度所有荣誉参评资格</w:t>
      </w:r>
      <w:r>
        <w:rPr>
          <w:spacing w:val="-2"/>
        </w:rPr>
        <w:t>，并根据情节轻重给予相应处</w:t>
      </w:r>
      <w:r>
        <w:rPr>
          <w:spacing w:val="-1"/>
        </w:rPr>
        <w:t>分。</w:t>
      </w:r>
    </w:p>
    <w:p w14:paraId="3B6F90FD">
      <w:pPr>
        <w:spacing w:line="244" w:lineRule="auto"/>
        <w:rPr>
          <w:rFonts w:ascii="Arial"/>
          <w:sz w:val="21"/>
        </w:rPr>
      </w:pPr>
    </w:p>
    <w:p w14:paraId="076F9BC1">
      <w:pPr>
        <w:spacing w:line="245" w:lineRule="auto"/>
        <w:rPr>
          <w:rFonts w:ascii="Arial"/>
          <w:sz w:val="21"/>
        </w:rPr>
      </w:pPr>
    </w:p>
    <w:p w14:paraId="12CE17B3">
      <w:pPr>
        <w:spacing w:before="101" w:line="227" w:lineRule="auto"/>
        <w:ind w:left="3725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第七章</w:t>
      </w:r>
      <w:r>
        <w:rPr>
          <w:rFonts w:ascii="黑体" w:hAnsi="黑体" w:eastAsia="黑体" w:cs="黑体"/>
          <w:spacing w:val="21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附</w:t>
      </w:r>
      <w:r>
        <w:rPr>
          <w:rFonts w:ascii="黑体" w:hAnsi="黑体" w:eastAsia="黑体" w:cs="黑体"/>
          <w:spacing w:val="13"/>
          <w:sz w:val="31"/>
          <w:szCs w:val="31"/>
        </w:rPr>
        <w:t xml:space="preserve">  </w:t>
      </w: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则</w:t>
      </w:r>
    </w:p>
    <w:p w14:paraId="1737C804">
      <w:pPr>
        <w:pStyle w:val="2"/>
        <w:spacing w:before="232" w:line="240" w:lineRule="auto"/>
        <w:ind w:firstLine="480" w:firstLineChars="200"/>
        <w:jc w:val="both"/>
        <w:outlineLvl w:val="1"/>
      </w:pPr>
      <w:r>
        <w:rPr>
          <w:b/>
          <w:bCs/>
        </w:rPr>
        <w:t xml:space="preserve">第十九条   </w:t>
      </w:r>
      <w:r>
        <w:t>本细则由人文学院研究生国家奖学金评审委员会负责解释，具体</w:t>
      </w:r>
      <w:r>
        <w:rPr>
          <w:spacing w:val="-1"/>
        </w:rPr>
        <w:t>工作由学院学生工作办公室承担。</w:t>
      </w:r>
    </w:p>
    <w:p w14:paraId="46EFB5D1">
      <w:pPr>
        <w:pStyle w:val="2"/>
        <w:spacing w:before="207" w:line="183" w:lineRule="auto"/>
        <w:ind w:left="455"/>
        <w:outlineLvl w:val="1"/>
      </w:pPr>
      <w:r>
        <w:rPr>
          <w:b/>
          <w:bCs/>
          <w:spacing w:val="1"/>
        </w:rPr>
        <w:t xml:space="preserve">第二十条   </w:t>
      </w:r>
      <w:r>
        <w:rPr>
          <w:spacing w:val="1"/>
        </w:rPr>
        <w:t>本细则自发布之日起执行。</w:t>
      </w:r>
    </w:p>
    <w:p w14:paraId="18D880F5">
      <w:pPr>
        <w:spacing w:line="257" w:lineRule="auto"/>
        <w:rPr>
          <w:rFonts w:ascii="Arial"/>
          <w:sz w:val="21"/>
        </w:rPr>
      </w:pPr>
    </w:p>
    <w:p w14:paraId="79CDE9D5">
      <w:pPr>
        <w:spacing w:line="258" w:lineRule="auto"/>
        <w:rPr>
          <w:rFonts w:ascii="Arial"/>
          <w:sz w:val="21"/>
        </w:rPr>
      </w:pPr>
    </w:p>
    <w:p w14:paraId="5FDC3308">
      <w:pPr>
        <w:pStyle w:val="2"/>
        <w:spacing w:before="103" w:line="183" w:lineRule="auto"/>
        <w:ind w:left="5280"/>
        <w:jc w:val="right"/>
      </w:pPr>
      <w:r>
        <w:rPr>
          <w:spacing w:val="-1"/>
        </w:rPr>
        <w:t>浙江工商大学人文学院</w:t>
      </w:r>
    </w:p>
    <w:p w14:paraId="0DCC9F60">
      <w:pPr>
        <w:pStyle w:val="2"/>
        <w:spacing w:before="207" w:line="183" w:lineRule="auto"/>
        <w:ind w:left="5283"/>
        <w:jc w:val="right"/>
      </w:pPr>
      <w:r>
        <w:rPr>
          <w:rFonts w:ascii="Times New Roman" w:hAnsi="Times New Roman" w:eastAsia="Times New Roman" w:cs="Times New Roman"/>
          <w:spacing w:val="-7"/>
        </w:rPr>
        <w:t xml:space="preserve">2024 </w:t>
      </w:r>
      <w:r>
        <w:rPr>
          <w:spacing w:val="-7"/>
        </w:rPr>
        <w:t>年</w:t>
      </w:r>
      <w:r>
        <w:rPr>
          <w:spacing w:val="25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11</w:t>
      </w:r>
      <w:r>
        <w:rPr>
          <w:rFonts w:ascii="Times New Roman" w:hAnsi="Times New Roman" w:eastAsia="Times New Roman" w:cs="Times New Roman"/>
          <w:spacing w:val="6"/>
        </w:rPr>
        <w:t xml:space="preserve"> </w:t>
      </w:r>
      <w:r>
        <w:rPr>
          <w:spacing w:val="-7"/>
        </w:rPr>
        <w:t>月</w:t>
      </w:r>
      <w:r>
        <w:rPr>
          <w:spacing w:val="1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-7"/>
        </w:rPr>
        <w:t>日</w:t>
      </w:r>
    </w:p>
    <w:sectPr>
      <w:footerReference r:id="rId10" w:type="default"/>
      <w:pgSz w:w="11906" w:h="16839"/>
      <w:pgMar w:top="1410" w:right="1418" w:bottom="1110" w:left="1417" w:header="0" w:footer="83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6E388">
    <w:pPr>
      <w:spacing w:line="174" w:lineRule="auto"/>
      <w:ind w:left="412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4"/>
        <w:sz w:val="28"/>
        <w:szCs w:val="28"/>
      </w:rPr>
      <w:t>—</w:t>
    </w:r>
    <w:r>
      <w:rPr>
        <w:rFonts w:ascii="宋体" w:hAnsi="宋体" w:eastAsia="宋体" w:cs="宋体"/>
        <w:spacing w:val="32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14"/>
        <w:sz w:val="28"/>
        <w:szCs w:val="28"/>
      </w:rPr>
      <w:t>1</w:t>
    </w:r>
    <w:r>
      <w:rPr>
        <w:rFonts w:ascii="Times New Roman" w:hAnsi="Times New Roman" w:eastAsia="Times New Roman" w:cs="Times New Roman"/>
        <w:spacing w:val="4"/>
        <w:sz w:val="28"/>
        <w:szCs w:val="28"/>
      </w:rPr>
      <w:t xml:space="preserve">  </w:t>
    </w:r>
    <w:r>
      <w:rPr>
        <w:rFonts w:ascii="宋体" w:hAnsi="宋体" w:eastAsia="宋体" w:cs="宋体"/>
        <w:spacing w:val="-14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0736CA">
    <w:pPr>
      <w:spacing w:line="174" w:lineRule="auto"/>
      <w:ind w:left="416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3"/>
        <w:sz w:val="28"/>
        <w:szCs w:val="28"/>
      </w:rPr>
      <w:t xml:space="preserve">—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>2</w:t>
    </w:r>
    <w:r>
      <w:rPr>
        <w:rFonts w:ascii="Times New Roman" w:hAnsi="Times New Roman" w:eastAsia="Times New Roman" w:cs="Times New Roman"/>
        <w:spacing w:val="5"/>
        <w:sz w:val="28"/>
        <w:szCs w:val="28"/>
      </w:rPr>
      <w:t xml:space="preserve">  </w:t>
    </w:r>
    <w:r>
      <w:rPr>
        <w:rFonts w:ascii="宋体" w:hAnsi="宋体" w:eastAsia="宋体" w:cs="宋体"/>
        <w:spacing w:val="-3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5A5F9">
    <w:pPr>
      <w:spacing w:line="174" w:lineRule="auto"/>
      <w:ind w:left="412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7"/>
        <w:sz w:val="28"/>
        <w:szCs w:val="28"/>
      </w:rPr>
      <w:t>3</w:t>
    </w:r>
    <w:r>
      <w:rPr>
        <w:rFonts w:ascii="Times New Roman" w:hAnsi="Times New Roman" w:eastAsia="Times New Roman" w:cs="Times New Roman"/>
        <w:spacing w:val="4"/>
        <w:sz w:val="28"/>
        <w:szCs w:val="28"/>
      </w:rPr>
      <w:t xml:space="preserve"> 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FB17F">
    <w:pPr>
      <w:spacing w:line="174" w:lineRule="auto"/>
      <w:ind w:left="412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3"/>
        <w:sz w:val="28"/>
        <w:szCs w:val="28"/>
      </w:rPr>
      <w:t xml:space="preserve">— </w:t>
    </w:r>
    <w:r>
      <w:rPr>
        <w:rFonts w:ascii="Times New Roman" w:hAnsi="Times New Roman" w:eastAsia="Times New Roman" w:cs="Times New Roman"/>
        <w:spacing w:val="-3"/>
        <w:sz w:val="28"/>
        <w:szCs w:val="28"/>
      </w:rPr>
      <w:t>4</w:t>
    </w:r>
    <w:r>
      <w:rPr>
        <w:rFonts w:ascii="Times New Roman" w:hAnsi="Times New Roman" w:eastAsia="Times New Roman" w:cs="Times New Roman"/>
        <w:spacing w:val="5"/>
        <w:sz w:val="28"/>
        <w:szCs w:val="28"/>
      </w:rPr>
      <w:t xml:space="preserve">  </w:t>
    </w:r>
    <w:r>
      <w:rPr>
        <w:rFonts w:ascii="宋体" w:hAnsi="宋体" w:eastAsia="宋体" w:cs="宋体"/>
        <w:spacing w:val="-3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38A29">
    <w:pPr>
      <w:spacing w:line="171" w:lineRule="auto"/>
      <w:ind w:left="412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2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7"/>
        <w:sz w:val="28"/>
        <w:szCs w:val="28"/>
      </w:rPr>
      <w:t>5</w:t>
    </w:r>
    <w:r>
      <w:rPr>
        <w:rFonts w:ascii="Times New Roman" w:hAnsi="Times New Roman" w:eastAsia="Times New Roman" w:cs="Times New Roman"/>
        <w:spacing w:val="4"/>
        <w:sz w:val="28"/>
        <w:szCs w:val="28"/>
      </w:rPr>
      <w:t xml:space="preserve"> 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7F2A2">
    <w:pPr>
      <w:spacing w:line="174" w:lineRule="auto"/>
      <w:ind w:left="412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7"/>
        <w:sz w:val="28"/>
        <w:szCs w:val="28"/>
      </w:rPr>
      <w:t>6</w:t>
    </w:r>
    <w:r>
      <w:rPr>
        <w:rFonts w:ascii="Times New Roman" w:hAnsi="Times New Roman" w:eastAsia="Times New Roman" w:cs="Times New Roman"/>
        <w:spacing w:val="4"/>
        <w:sz w:val="28"/>
        <w:szCs w:val="28"/>
      </w:rPr>
      <w:t xml:space="preserve"> 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A8564B"/>
    <w:rsid w:val="51CD7AC2"/>
    <w:rsid w:val="613115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fa84eeb6-087b-4c29-a16c-b4ac72f1946b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1D0AFF17</paraID>
      <start>13</start>
      <end>22</end>
      <status>modified</status>
      <modifiedWord>拥护中国共产党领导</modifiedWord>
      <trackRevisions>false</trackRevisions>
    </reviewItem>
    <reviewItem>
      <errorID>411b2d1d-7104-4e1b-97d7-84e447bee680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75399702</paraID>
      <start>17</start>
      <end>19</end>
      <status>modified</status>
      <modifiedWord>”“</modifiedWord>
      <trackRevisions>false</trackRevisions>
    </reviewItem>
    <reviewItem>
      <errorID>3626f8ca-8b80-4b4b-afe7-a0e456a61ebb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75399702</paraID>
      <start>25</start>
      <end>27</end>
      <status>modified</status>
      <modifiedWord>”“</modifiedWord>
      <trackRevisions>false</trackRevisions>
    </reviewItem>
    <reviewItem>
      <errorID>f855e6aa-cd40-4d2b-839e-fca249c5fa68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2586E124</paraID>
      <start>8</start>
      <end>9</end>
      <status>modified</status>
      <modifiedWord>（</modifiedWord>
      <trackRevisions>false</trackRevisions>
    </reviewItem>
    <reviewItem>
      <errorID>f3b727fc-7630-4b1e-bc5f-8ac7b6f99411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2586E124</paraID>
      <start>16</start>
      <end>17</end>
      <status>modified</status>
      <modifiedWord>）</modifiedWord>
      <trackRevisions>false</trackRevisions>
    </reviewItem>
    <reviewItem>
      <errorID>3f0e0eea-14f0-4600-9dba-4ce5d468bcd5</errorID>
      <errorWord>、且</errorWord>
      <group>L1_Word</group>
      <groupName>字词问题</groupName>
      <ability>L2_Typo</ability>
      <abilityName>字词错误</abilityName>
      <candidateList>
        <item>且</item>
      </candidateList>
      <explain/>
      <paraID>310EC9D8</paraID>
      <start>13</start>
      <end>14</end>
      <status>modified</status>
      <modifiedWord>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3777091-ee05-48da-b9b1-c1d8077dee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2836</Words>
  <Characters>2964</Characters>
  <TotalTime>6</TotalTime>
  <ScaleCrop>false</ScaleCrop>
  <LinksUpToDate>false</LinksUpToDate>
  <CharactersWithSpaces>3119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2026-09-21T15:56:00Z</dcterms:created>
  <dc:creator>程彤</dc:creator>
  <cp:lastModifiedBy>彧</cp:lastModifiedBy>
  <cp:lastPrinted>2026-09-23T06:48:47Z</cp:lastPrinted>
  <dcterms:modified xsi:type="dcterms:W3CDTF">2026-09-23T06:48:59Z</dcterms:modified>
  <dc:title>浙商大研〔2012〕382号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2026-09-21T15:56:36Z</vt:filetime>
  </property>
  <property fmtid="{D5CDD505-2E9C-101B-9397-08002B2CF9AE}" pid="4" name="KSOTemplateDocerSaveRecord">
    <vt:lpwstr>eyJoZGlkIjoiODViY2JkMjU3NGYzZTEwMzZmMGFkZWViYmNkYWU3NDIiLCJ1c2VySWQiOiI1MDc3Njc1MTYifQ==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AAAC5C801E3F425E946578F94FD9A148_13</vt:lpwstr>
  </property>
</Properties>
</file>