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spacing w:before="8"/>
        <w:rPr>
          <w:rFonts w:ascii="Times New Roman"/>
          <w:sz w:val="25"/>
        </w:rPr>
      </w:pPr>
    </w:p>
    <w:p>
      <w:pPr>
        <w:pStyle w:val="BodyText"/>
        <w:ind w:left="111"/>
        <w:rPr>
          <w:rFonts w:ascii="Times New Roman"/>
          <w:sz w:val="20"/>
        </w:rPr>
      </w:pPr>
      <w:r>
        <w:rPr>
          <w:rFonts w:ascii="Times New Roman"/>
          <w:sz w:val="20"/>
        </w:rPr>
        <w:drawing>
          <wp:inline distT="0" distB="0" distL="0" distR="0">
            <wp:extent cx="5537687" cy="809625"/>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5537687" cy="809625"/>
                    </a:xfrm>
                    <a:prstGeom prst="rect">
                      <a:avLst/>
                    </a:prstGeom>
                  </pic:spPr>
                </pic:pic>
              </a:graphicData>
            </a:graphic>
          </wp:inline>
        </w:drawing>
      </w:r>
      <w:r>
        <w:rPr>
          <w:rFonts w:ascii="Times New Roman"/>
          <w:sz w:val="20"/>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6"/>
        <w:rPr>
          <w:rFonts w:ascii="Times New Roman"/>
          <w:sz w:val="25"/>
        </w:rPr>
      </w:pPr>
    </w:p>
    <w:p>
      <w:pPr>
        <w:pStyle w:val="BodyText"/>
        <w:spacing w:before="54"/>
        <w:ind w:right="157"/>
        <w:jc w:val="center"/>
      </w:pPr>
      <w:r>
        <w:rPr/>
        <w:t>浙商大研〔2021〕147 号</w:t>
      </w:r>
    </w:p>
    <w:p>
      <w:pPr>
        <w:pStyle w:val="BodyText"/>
        <w:spacing w:before="6"/>
        <w:rPr>
          <w:sz w:val="10"/>
        </w:rPr>
      </w:pPr>
      <w:r>
        <w:rPr/>
        <w:pict>
          <v:shape style="position:absolute;margin-left:79.050003pt;margin-top:8.656103pt;width:441.75pt;height:2.3pt;mso-position-horizontal-relative:page;mso-position-vertical-relative:paragraph;z-index:-15728640;mso-wrap-distance-left:0;mso-wrap-distance-right:0" coordorigin="1581,173" coordsize="8835,46" path="m10416,219l1581,218,1581,173,10416,174,10416,219xe" filled="true" fillcolor="#ff0000" stroked="false">
            <v:path arrowok="t"/>
            <v:fill type="solid"/>
            <w10:wrap type="topAndBottom"/>
          </v:shape>
        </w:pict>
      </w:r>
    </w:p>
    <w:p>
      <w:pPr>
        <w:pStyle w:val="BodyText"/>
      </w:pPr>
    </w:p>
    <w:p>
      <w:pPr>
        <w:pStyle w:val="BodyText"/>
        <w:spacing w:before="8"/>
        <w:rPr>
          <w:sz w:val="47"/>
        </w:rPr>
      </w:pPr>
    </w:p>
    <w:p>
      <w:pPr>
        <w:pStyle w:val="Heading1"/>
        <w:ind w:right="157"/>
      </w:pPr>
      <w:r>
        <w:rPr/>
        <w:t>浙江工商大学关于印发</w:t>
      </w:r>
    </w:p>
    <w:p>
      <w:pPr>
        <w:spacing w:line="663" w:lineRule="exact" w:before="0"/>
        <w:ind w:left="0" w:right="160" w:firstLine="0"/>
        <w:jc w:val="center"/>
        <w:rPr>
          <w:rFonts w:ascii="方正小标宋简体" w:eastAsia="方正小标宋简体" w:hint="eastAsia"/>
          <w:sz w:val="44"/>
        </w:rPr>
      </w:pPr>
      <w:r>
        <w:rPr>
          <w:rFonts w:ascii="方正小标宋简体" w:eastAsia="方正小标宋简体" w:hint="eastAsia"/>
          <w:sz w:val="44"/>
        </w:rPr>
        <w:t>研究生学业奖学金管理办法的通知</w:t>
      </w:r>
    </w:p>
    <w:p>
      <w:pPr>
        <w:pStyle w:val="BodyText"/>
        <w:spacing w:before="9"/>
        <w:rPr>
          <w:rFonts w:ascii="方正小标宋简体"/>
          <w:sz w:val="35"/>
        </w:rPr>
      </w:pPr>
    </w:p>
    <w:p>
      <w:pPr>
        <w:pStyle w:val="BodyText"/>
        <w:ind w:left="111"/>
      </w:pPr>
      <w:r>
        <w:rPr/>
        <w:t>校内各部门：</w:t>
      </w:r>
    </w:p>
    <w:p>
      <w:pPr>
        <w:pStyle w:val="BodyText"/>
        <w:spacing w:line="340" w:lineRule="auto" w:before="171"/>
        <w:ind w:left="111" w:right="271" w:firstLine="640"/>
      </w:pPr>
      <w:r>
        <w:rPr>
          <w:spacing w:val="-6"/>
          <w:w w:val="95"/>
        </w:rPr>
        <w:t>《浙江工商大学研究生学业奖学金管理办法》经修订，现予 </w:t>
      </w:r>
      <w:r>
        <w:rPr>
          <w:spacing w:val="-6"/>
        </w:rPr>
        <w:t>以印发，请遵照执行。</w:t>
      </w:r>
    </w:p>
    <w:p>
      <w:pPr>
        <w:pStyle w:val="BodyText"/>
      </w:pPr>
    </w:p>
    <w:p>
      <w:pPr>
        <w:pStyle w:val="BodyText"/>
      </w:pPr>
    </w:p>
    <w:p>
      <w:pPr>
        <w:pStyle w:val="BodyText"/>
        <w:spacing w:before="3"/>
        <w:rPr>
          <w:sz w:val="26"/>
        </w:rPr>
      </w:pPr>
    </w:p>
    <w:p>
      <w:pPr>
        <w:pStyle w:val="BodyText"/>
        <w:spacing w:line="338" w:lineRule="auto"/>
        <w:ind w:left="5072" w:right="1833" w:firstLine="158"/>
      </w:pPr>
      <w:r>
        <w:rPr/>
        <w:t>浙江工商大学2021</w:t>
      </w:r>
      <w:r>
        <w:rPr>
          <w:spacing w:val="-55"/>
        </w:rPr>
        <w:t> 年 </w:t>
      </w:r>
      <w:r>
        <w:rPr/>
        <w:t>8</w:t>
      </w:r>
      <w:r>
        <w:rPr>
          <w:spacing w:val="-54"/>
        </w:rPr>
        <w:t> 月 </w:t>
      </w:r>
      <w:r>
        <w:rPr/>
        <w:t>8</w:t>
      </w:r>
      <w:r>
        <w:rPr>
          <w:spacing w:val="-47"/>
        </w:rPr>
        <w:t> 日</w:t>
      </w:r>
    </w:p>
    <w:p>
      <w:pPr>
        <w:spacing w:after="0" w:line="338" w:lineRule="auto"/>
        <w:sectPr>
          <w:footerReference w:type="default" r:id="rId5"/>
          <w:footerReference w:type="even" r:id="rId6"/>
          <w:type w:val="continuous"/>
          <w:pgSz w:w="11910" w:h="16840"/>
          <w:pgMar w:footer="1804" w:top="1580" w:bottom="2000" w:left="1420" w:right="1260"/>
          <w:pgNumType w:start="1"/>
        </w:sectPr>
      </w:pPr>
    </w:p>
    <w:p>
      <w:pPr>
        <w:pStyle w:val="BodyText"/>
        <w:rPr>
          <w:sz w:val="20"/>
        </w:rPr>
      </w:pPr>
    </w:p>
    <w:p>
      <w:pPr>
        <w:pStyle w:val="BodyText"/>
        <w:spacing w:before="3"/>
        <w:rPr>
          <w:sz w:val="25"/>
        </w:rPr>
      </w:pPr>
    </w:p>
    <w:p>
      <w:pPr>
        <w:pStyle w:val="Heading1"/>
        <w:spacing w:line="738" w:lineRule="exact"/>
      </w:pPr>
      <w:r>
        <w:rPr/>
        <w:t>浙江工商大学研究生学业奖学金管理办法</w:t>
      </w:r>
    </w:p>
    <w:p>
      <w:pPr>
        <w:pStyle w:val="BodyText"/>
        <w:spacing w:before="8"/>
        <w:rPr>
          <w:rFonts w:ascii="方正小标宋简体"/>
          <w:sz w:val="35"/>
        </w:rPr>
      </w:pPr>
    </w:p>
    <w:p>
      <w:pPr>
        <w:pStyle w:val="BodyText"/>
        <w:tabs>
          <w:tab w:pos="1279" w:val="left" w:leader="none"/>
          <w:tab w:pos="1919" w:val="left" w:leader="none"/>
        </w:tabs>
        <w:spacing w:before="1"/>
        <w:ind w:right="157"/>
        <w:jc w:val="center"/>
        <w:rPr>
          <w:rFonts w:ascii="黑体" w:eastAsia="黑体" w:hint="eastAsia"/>
        </w:rPr>
      </w:pPr>
      <w:r>
        <w:rPr>
          <w:rFonts w:ascii="黑体" w:eastAsia="黑体" w:hint="eastAsia"/>
        </w:rPr>
        <w:t>第一章</w:t>
        <w:tab/>
        <w:t>总</w:t>
        <w:tab/>
        <w:t>则</w:t>
      </w:r>
    </w:p>
    <w:p>
      <w:pPr>
        <w:pStyle w:val="BodyText"/>
        <w:tabs>
          <w:tab w:pos="2033" w:val="left" w:leader="none"/>
        </w:tabs>
        <w:spacing w:line="331" w:lineRule="auto" w:before="155"/>
        <w:ind w:left="111" w:right="270" w:firstLine="640"/>
      </w:pPr>
      <w:r>
        <w:rPr>
          <w:rFonts w:ascii="臺灣新細明體" w:eastAsia="臺灣新細明體" w:hint="eastAsia"/>
          <w:b w:val="0"/>
        </w:rPr>
        <w:t>第一条</w:t>
        <w:tab/>
      </w:r>
      <w:r>
        <w:rPr/>
        <w:t>为激励研究生勤奋学习</w:t>
      </w:r>
      <w:r>
        <w:rPr>
          <w:spacing w:val="-39"/>
        </w:rPr>
        <w:t>、</w:t>
      </w:r>
      <w:r>
        <w:rPr/>
        <w:t>潜心科研</w:t>
      </w:r>
      <w:r>
        <w:rPr>
          <w:spacing w:val="-39"/>
        </w:rPr>
        <w:t>、</w:t>
      </w:r>
      <w:r>
        <w:rPr/>
        <w:t>勇于创新</w:t>
      </w:r>
      <w:r>
        <w:rPr>
          <w:spacing w:val="-36"/>
        </w:rPr>
        <w:t>、</w:t>
      </w:r>
      <w:r>
        <w:rPr>
          <w:spacing w:val="-12"/>
        </w:rPr>
        <w:t>积</w:t>
      </w:r>
      <w:r>
        <w:rPr/>
        <w:t>极进取</w:t>
      </w:r>
      <w:r>
        <w:rPr>
          <w:spacing w:val="-115"/>
        </w:rPr>
        <w:t>，</w:t>
      </w:r>
      <w:r>
        <w:rPr/>
        <w:t>在全面实行研究生教育收费制度的情况下更好地支持</w:t>
      </w:r>
      <w:r>
        <w:rPr>
          <w:spacing w:val="-11"/>
        </w:rPr>
        <w:t>研</w:t>
      </w:r>
      <w:r>
        <w:rPr/>
        <w:t>究生顺利完成学业</w:t>
      </w:r>
      <w:r>
        <w:rPr>
          <w:spacing w:val="-58"/>
        </w:rPr>
        <w:t>，</w:t>
      </w:r>
      <w:r>
        <w:rPr/>
        <w:t>根</w:t>
      </w:r>
      <w:r>
        <w:rPr>
          <w:spacing w:val="-58"/>
        </w:rPr>
        <w:t>据</w:t>
      </w:r>
      <w:r>
        <w:rPr/>
        <w:t>《财政部</w:t>
      </w:r>
      <w:r>
        <w:rPr>
          <w:spacing w:val="-7"/>
        </w:rPr>
        <w:t> </w:t>
      </w:r>
      <w:r>
        <w:rPr/>
        <w:t>教育部</w:t>
      </w:r>
      <w:r>
        <w:rPr>
          <w:spacing w:val="-3"/>
        </w:rPr>
        <w:t> </w:t>
      </w:r>
      <w:r>
        <w:rPr/>
        <w:t>人力资源社会保障部退役军人部</w:t>
      </w:r>
      <w:r>
        <w:rPr>
          <w:spacing w:val="-5"/>
        </w:rPr>
        <w:t> </w:t>
      </w:r>
      <w:r>
        <w:rPr/>
        <w:t>中央军委国防动员部关于印发&lt;学生资助资金管理办法&gt;的通知</w:t>
      </w:r>
      <w:r>
        <w:rPr>
          <w:spacing w:val="-166"/>
        </w:rPr>
        <w:t>》</w:t>
      </w:r>
      <w:r>
        <w:rPr/>
        <w:t>（财科</w:t>
      </w:r>
      <w:r>
        <w:rPr>
          <w:spacing w:val="-7"/>
        </w:rPr>
        <w:t>教</w:t>
      </w:r>
      <w:r>
        <w:rPr/>
        <w:t>〔2019</w:t>
      </w:r>
      <w:r>
        <w:rPr>
          <w:spacing w:val="-7"/>
        </w:rPr>
        <w:t>〕</w:t>
      </w:r>
      <w:r>
        <w:rPr/>
        <w:t>19</w:t>
      </w:r>
      <w:r>
        <w:rPr>
          <w:spacing w:val="-86"/>
        </w:rPr>
        <w:t> </w:t>
      </w:r>
      <w:r>
        <w:rPr/>
        <w:t>号</w:t>
      </w:r>
      <w:r>
        <w:rPr>
          <w:spacing w:val="-5"/>
        </w:rPr>
        <w:t>）</w:t>
      </w:r>
      <w:r>
        <w:rPr>
          <w:spacing w:val="-7"/>
        </w:rPr>
        <w:t>和</w:t>
      </w:r>
      <w:r>
        <w:rPr/>
        <w:t>《浙江省财政厅</w:t>
      </w:r>
      <w:r>
        <w:rPr>
          <w:spacing w:val="-10"/>
        </w:rPr>
        <w:t> </w:t>
      </w:r>
      <w:r>
        <w:rPr/>
        <w:t>浙江</w:t>
      </w:r>
    </w:p>
    <w:p>
      <w:pPr>
        <w:pStyle w:val="BodyText"/>
        <w:spacing w:line="338" w:lineRule="auto" w:before="12"/>
        <w:ind w:left="111" w:right="110"/>
      </w:pPr>
      <w:r>
        <w:rPr>
          <w:spacing w:val="-1"/>
        </w:rPr>
        <w:t>省教育厅 浙江省人力资源和社会保障厅关于印发浙江省学生资助资金管理办法的通知</w:t>
      </w:r>
      <w:r>
        <w:rPr>
          <w:spacing w:val="-209"/>
        </w:rPr>
        <w:t>》</w:t>
      </w:r>
      <w:r>
        <w:rPr/>
        <w:t>（</w:t>
      </w:r>
      <w:r>
        <w:rPr>
          <w:spacing w:val="-10"/>
        </w:rPr>
        <w:t>浙财科教〔</w:t>
      </w:r>
      <w:r>
        <w:rPr/>
        <w:t>2020</w:t>
      </w:r>
      <w:r>
        <w:rPr>
          <w:spacing w:val="-48"/>
        </w:rPr>
        <w:t>〕</w:t>
      </w:r>
      <w:r>
        <w:rPr/>
        <w:t>39</w:t>
      </w:r>
      <w:r>
        <w:rPr>
          <w:spacing w:val="-47"/>
        </w:rPr>
        <w:t> 号</w:t>
      </w:r>
      <w:r>
        <w:rPr>
          <w:spacing w:val="-48"/>
        </w:rPr>
        <w:t>）</w:t>
      </w:r>
      <w:r>
        <w:rPr/>
        <w:t>等文件精神， 结合学校实际，制定本办法。</w:t>
      </w:r>
    </w:p>
    <w:p>
      <w:pPr>
        <w:pStyle w:val="BodyText"/>
        <w:tabs>
          <w:tab w:pos="2033" w:val="left" w:leader="none"/>
        </w:tabs>
        <w:spacing w:line="309" w:lineRule="auto"/>
        <w:ind w:left="111" w:right="473" w:firstLine="640"/>
      </w:pPr>
      <w:r>
        <w:rPr>
          <w:rFonts w:ascii="臺灣新細明體" w:eastAsia="臺灣新細明體" w:hint="eastAsia"/>
          <w:b w:val="0"/>
        </w:rPr>
        <w:t>第二条</w:t>
        <w:tab/>
      </w:r>
      <w:r>
        <w:rPr/>
        <w:t>本办法所称研究生是指我校纳入全国研究生招</w:t>
      </w:r>
      <w:r>
        <w:rPr>
          <w:spacing w:val="-12"/>
        </w:rPr>
        <w:t>生</w:t>
      </w:r>
      <w:r>
        <w:rPr/>
        <w:t>计划、全日制（全脱产）培养、非定向就业的在校研究生。</w:t>
      </w:r>
    </w:p>
    <w:p>
      <w:pPr>
        <w:pStyle w:val="BodyText"/>
        <w:tabs>
          <w:tab w:pos="2035" w:val="left" w:leader="none"/>
        </w:tabs>
        <w:spacing w:line="309" w:lineRule="auto" w:before="23"/>
        <w:ind w:left="111" w:right="271" w:firstLine="640"/>
      </w:pPr>
      <w:r>
        <w:rPr>
          <w:rFonts w:ascii="臺灣新細明體" w:eastAsia="臺灣新細明體" w:hint="eastAsia"/>
          <w:b w:val="0"/>
        </w:rPr>
        <w:t>第三条</w:t>
        <w:tab/>
      </w:r>
      <w:r>
        <w:rPr/>
        <w:t>学校根据财政拨款</w:t>
      </w:r>
      <w:r>
        <w:rPr>
          <w:spacing w:val="-60"/>
        </w:rPr>
        <w:t>、</w:t>
      </w:r>
      <w:r>
        <w:rPr/>
        <w:t>学费收入</w:t>
      </w:r>
      <w:r>
        <w:rPr>
          <w:spacing w:val="-60"/>
        </w:rPr>
        <w:t>、</w:t>
      </w:r>
      <w:r>
        <w:rPr/>
        <w:t>社会捐助等情况</w:t>
      </w:r>
      <w:r>
        <w:rPr>
          <w:spacing w:val="-11"/>
        </w:rPr>
        <w:t>确</w:t>
      </w:r>
      <w:r>
        <w:rPr/>
        <w:t>定研究生学业奖学金的类型等级、奖励标准和奖励比例。</w:t>
      </w:r>
    </w:p>
    <w:p>
      <w:pPr>
        <w:pStyle w:val="BodyText"/>
        <w:tabs>
          <w:tab w:pos="2035" w:val="left" w:leader="none"/>
        </w:tabs>
        <w:spacing w:line="307" w:lineRule="auto" w:before="36"/>
        <w:ind w:left="111" w:right="110" w:firstLine="640"/>
      </w:pPr>
      <w:r>
        <w:rPr>
          <w:rFonts w:ascii="臺灣新細明體" w:eastAsia="臺灣新細明體" w:hint="eastAsia"/>
          <w:b w:val="0"/>
        </w:rPr>
        <w:t>第四条</w:t>
        <w:tab/>
      </w:r>
      <w:r>
        <w:rPr>
          <w:w w:val="95"/>
        </w:rPr>
        <w:t>本办法不适用于工商管</w:t>
      </w:r>
      <w:r>
        <w:rPr>
          <w:spacing w:val="-70"/>
          <w:w w:val="95"/>
        </w:rPr>
        <w:t>理</w:t>
      </w:r>
      <w:r>
        <w:rPr>
          <w:spacing w:val="-14"/>
          <w:w w:val="95"/>
        </w:rPr>
        <w:t>（MBA）</w:t>
      </w:r>
      <w:r>
        <w:rPr>
          <w:spacing w:val="-70"/>
          <w:w w:val="95"/>
        </w:rPr>
        <w:t>、</w:t>
      </w:r>
      <w:r>
        <w:rPr>
          <w:w w:val="95"/>
        </w:rPr>
        <w:t>公共管</w:t>
      </w:r>
      <w:r>
        <w:rPr>
          <w:spacing w:val="-70"/>
          <w:w w:val="95"/>
        </w:rPr>
        <w:t>理</w:t>
      </w:r>
      <w:r>
        <w:rPr>
          <w:w w:val="95"/>
        </w:rPr>
        <w:t>（MPA） </w:t>
      </w:r>
      <w:r>
        <w:rPr/>
        <w:t>以及旅游管理专业学位研究生。</w:t>
      </w:r>
    </w:p>
    <w:p>
      <w:pPr>
        <w:pStyle w:val="BodyText"/>
        <w:spacing w:line="338" w:lineRule="auto" w:before="57"/>
        <w:ind w:left="111" w:right="312" w:firstLine="640"/>
      </w:pPr>
      <w:r>
        <w:rPr>
          <w:w w:val="99"/>
        </w:rPr>
        <w:t>工商管理（</w:t>
      </w:r>
      <w:r>
        <w:rPr>
          <w:spacing w:val="1"/>
          <w:w w:val="99"/>
        </w:rPr>
        <w:t>MB</w:t>
      </w:r>
      <w:r>
        <w:rPr>
          <w:spacing w:val="-2"/>
          <w:w w:val="99"/>
        </w:rPr>
        <w:t>A</w:t>
      </w:r>
      <w:r>
        <w:rPr>
          <w:spacing w:val="-159"/>
          <w:w w:val="99"/>
        </w:rPr>
        <w:t>）</w:t>
      </w:r>
      <w:r>
        <w:rPr>
          <w:w w:val="99"/>
        </w:rPr>
        <w:t>、公共管理（</w:t>
      </w:r>
      <w:r>
        <w:rPr>
          <w:spacing w:val="1"/>
          <w:w w:val="99"/>
        </w:rPr>
        <w:t>MP</w:t>
      </w:r>
      <w:r>
        <w:rPr>
          <w:spacing w:val="-2"/>
          <w:w w:val="99"/>
        </w:rPr>
        <w:t>A</w:t>
      </w:r>
      <w:r>
        <w:rPr>
          <w:w w:val="99"/>
        </w:rPr>
        <w:t>）以及旅游管理等专业学</w:t>
      </w:r>
      <w:r>
        <w:rPr/>
        <w:t>位研究生的学业奖学金管理办法由相关学院参照本办法自行制定并报学校备案。</w:t>
      </w:r>
    </w:p>
    <w:p>
      <w:pPr>
        <w:spacing w:after="0" w:line="338" w:lineRule="auto"/>
        <w:sectPr>
          <w:pgSz w:w="11910" w:h="16840"/>
          <w:pgMar w:header="0" w:footer="1804" w:top="1580" w:bottom="2000" w:left="1420" w:right="1260"/>
        </w:sectPr>
      </w:pPr>
    </w:p>
    <w:p>
      <w:pPr>
        <w:pStyle w:val="BodyText"/>
        <w:rPr>
          <w:sz w:val="20"/>
        </w:rPr>
      </w:pPr>
    </w:p>
    <w:p>
      <w:pPr>
        <w:pStyle w:val="BodyText"/>
        <w:rPr>
          <w:sz w:val="20"/>
        </w:rPr>
      </w:pPr>
    </w:p>
    <w:p>
      <w:pPr>
        <w:pStyle w:val="BodyText"/>
        <w:rPr>
          <w:sz w:val="15"/>
        </w:rPr>
      </w:pPr>
    </w:p>
    <w:p>
      <w:pPr>
        <w:pStyle w:val="BodyText"/>
        <w:spacing w:line="307" w:lineRule="auto" w:before="38"/>
        <w:ind w:left="111" w:right="269" w:firstLine="640"/>
        <w:jc w:val="both"/>
      </w:pPr>
      <w:r>
        <w:rPr>
          <w:rFonts w:ascii="臺灣新細明體" w:eastAsia="臺灣新細明體" w:hint="eastAsia"/>
          <w:b w:val="0"/>
          <w:spacing w:val="15"/>
        </w:rPr>
        <w:t>第五条 </w:t>
      </w:r>
      <w:r>
        <w:rPr>
          <w:spacing w:val="-8"/>
        </w:rPr>
        <w:t>研究生获得学业奖学金的总年限，不超过其基本学</w:t>
      </w:r>
      <w:r>
        <w:rPr>
          <w:spacing w:val="-15"/>
        </w:rPr>
        <w:t>制规定的学习年限。我校博士生基本学制年限为 </w:t>
      </w:r>
      <w:r>
        <w:rPr/>
        <w:t>3</w:t>
      </w:r>
      <w:r>
        <w:rPr>
          <w:spacing w:val="-22"/>
        </w:rPr>
        <w:t> 年，硕士生基</w:t>
      </w:r>
    </w:p>
    <w:p>
      <w:pPr>
        <w:pStyle w:val="BodyText"/>
        <w:spacing w:before="58"/>
        <w:ind w:left="111"/>
        <w:jc w:val="both"/>
      </w:pPr>
      <w:r>
        <w:rPr/>
        <w:t>本学制年限为 2 年、2.5 年或 3 年。</w:t>
      </w:r>
    </w:p>
    <w:p>
      <w:pPr>
        <w:pStyle w:val="BodyText"/>
        <w:spacing w:line="324" w:lineRule="auto" w:before="155"/>
        <w:ind w:left="111" w:right="269" w:firstLine="640"/>
        <w:jc w:val="both"/>
      </w:pPr>
      <w:r>
        <w:rPr>
          <w:rFonts w:ascii="臺灣新細明體" w:eastAsia="臺灣新細明體" w:hint="eastAsia"/>
          <w:b w:val="0"/>
          <w:spacing w:val="15"/>
        </w:rPr>
        <w:t>第六条 </w:t>
      </w:r>
      <w:r>
        <w:rPr>
          <w:spacing w:val="-7"/>
        </w:rPr>
        <w:t>获得研究生学业奖学金奖励的研究生，可以同时获</w:t>
      </w:r>
      <w:r>
        <w:rPr>
          <w:spacing w:val="-14"/>
        </w:rPr>
        <w:t>得研究生国家奖学金、研究生国家助学金等其他研究生国家奖助政策及学校其他研究生奖助政策资助。</w:t>
      </w:r>
    </w:p>
    <w:p>
      <w:pPr>
        <w:pStyle w:val="BodyText"/>
        <w:spacing w:before="12"/>
        <w:rPr>
          <w:sz w:val="46"/>
        </w:rPr>
      </w:pPr>
    </w:p>
    <w:p>
      <w:pPr>
        <w:pStyle w:val="BodyText"/>
        <w:tabs>
          <w:tab w:pos="1279" w:val="left" w:leader="none"/>
        </w:tabs>
        <w:ind w:right="160"/>
        <w:jc w:val="center"/>
        <w:rPr>
          <w:rFonts w:ascii="黑体" w:eastAsia="黑体" w:hint="eastAsia"/>
        </w:rPr>
      </w:pPr>
      <w:r>
        <w:rPr>
          <w:rFonts w:ascii="黑体" w:eastAsia="黑体" w:hint="eastAsia"/>
        </w:rPr>
        <w:t>第二章</w:t>
        <w:tab/>
        <w:t>奖励类型、等级、标准和比例</w:t>
      </w:r>
    </w:p>
    <w:p>
      <w:pPr>
        <w:pStyle w:val="BodyText"/>
        <w:tabs>
          <w:tab w:pos="2021" w:val="left" w:leader="none"/>
        </w:tabs>
        <w:spacing w:line="309" w:lineRule="auto" w:before="155"/>
        <w:ind w:left="111" w:right="269" w:firstLine="626"/>
      </w:pPr>
      <w:r>
        <w:rPr>
          <w:rFonts w:ascii="臺灣新細明體" w:eastAsia="臺灣新細明體" w:hint="eastAsia"/>
          <w:b w:val="0"/>
        </w:rPr>
        <w:t>第七条</w:t>
        <w:tab/>
      </w:r>
      <w:r>
        <w:rPr/>
        <w:t>根据学校实际</w:t>
      </w:r>
      <w:r>
        <w:rPr>
          <w:spacing w:val="-106"/>
        </w:rPr>
        <w:t>，</w:t>
      </w:r>
      <w:r>
        <w:rPr/>
        <w:t>我校研究生学业奖学金设研究生</w:t>
      </w:r>
      <w:r>
        <w:rPr>
          <w:spacing w:val="-11"/>
        </w:rPr>
        <w:t>新</w:t>
      </w:r>
      <w:r>
        <w:rPr/>
        <w:t>生学业奖学金和研究生学年学业奖学金两种类型。</w:t>
      </w:r>
    </w:p>
    <w:p>
      <w:pPr>
        <w:pStyle w:val="BodyText"/>
        <w:tabs>
          <w:tab w:pos="2021" w:val="left" w:leader="none"/>
        </w:tabs>
        <w:spacing w:before="33"/>
        <w:ind w:left="737"/>
      </w:pPr>
      <w:r>
        <w:rPr>
          <w:rFonts w:ascii="臺灣新細明體" w:eastAsia="臺灣新細明體" w:hint="eastAsia"/>
          <w:b w:val="0"/>
        </w:rPr>
        <w:t>第八条</w:t>
        <w:tab/>
      </w:r>
      <w:r>
        <w:rPr/>
        <w:t>研究生新生学业奖学金奖励等级、标准和比例：</w:t>
      </w:r>
    </w:p>
    <w:p>
      <w:pPr>
        <w:pStyle w:val="BodyText"/>
        <w:spacing w:before="134"/>
        <w:ind w:left="751"/>
      </w:pPr>
      <w:r>
        <w:rPr/>
        <w:t>（一）博士生新生学业奖学金奖励等级、标准和比例</w:t>
      </w:r>
    </w:p>
    <w:p>
      <w:pPr>
        <w:pStyle w:val="BodyText"/>
        <w:spacing w:line="338" w:lineRule="auto" w:before="170"/>
        <w:ind w:left="111" w:right="271" w:firstLine="640"/>
      </w:pPr>
      <w:r>
        <w:rPr>
          <w:spacing w:val="-5"/>
          <w:w w:val="95"/>
        </w:rPr>
        <w:t>博士生新生学业奖学金发放对象为一年级博士研究生，不分 </w:t>
      </w:r>
      <w:r>
        <w:rPr>
          <w:spacing w:val="-13"/>
        </w:rPr>
        <w:t>等级，奖励标准为每生 </w:t>
      </w:r>
      <w:r>
        <w:rPr/>
        <w:t>10000</w:t>
      </w:r>
      <w:r>
        <w:rPr>
          <w:spacing w:val="-43"/>
        </w:rPr>
        <w:t> 元</w:t>
      </w:r>
      <w:r>
        <w:rPr/>
        <w:t>/年，奖励比例为一年级博士研</w:t>
      </w:r>
    </w:p>
    <w:p>
      <w:pPr>
        <w:pStyle w:val="BodyText"/>
        <w:spacing w:line="408" w:lineRule="exact"/>
        <w:ind w:left="111"/>
      </w:pPr>
      <w:r>
        <w:rPr>
          <w:position w:val="1"/>
        </w:rPr>
        <w:t>究生的</w:t>
      </w:r>
      <w:r>
        <w:rPr>
          <w:spacing w:val="-83"/>
          <w:position w:val="1"/>
        </w:rPr>
        <w:t> </w:t>
      </w:r>
      <w:r>
        <w:rPr>
          <w:spacing w:val="3"/>
          <w:position w:val="1"/>
        </w:rPr>
        <w:t>100</w:t>
      </w:r>
      <w:r>
        <w:rPr>
          <w:spacing w:val="8"/>
          <w:w w:val="99"/>
        </w:rPr>
        <w:drawing>
          <wp:inline distT="0" distB="0" distL="0" distR="0">
            <wp:extent cx="85724" cy="155574"/>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85724" cy="155574"/>
                    </a:xfrm>
                    <a:prstGeom prst="rect">
                      <a:avLst/>
                    </a:prstGeom>
                  </pic:spPr>
                </pic:pic>
              </a:graphicData>
            </a:graphic>
          </wp:inline>
        </w:drawing>
      </w:r>
      <w:r>
        <w:rPr>
          <w:spacing w:val="8"/>
          <w:w w:val="99"/>
        </w:rPr>
      </w:r>
      <w:r>
        <w:rPr>
          <w:position w:val="1"/>
        </w:rPr>
        <w:t>。</w:t>
      </w:r>
    </w:p>
    <w:p>
      <w:pPr>
        <w:pStyle w:val="BodyText"/>
        <w:spacing w:line="338" w:lineRule="auto" w:before="176"/>
        <w:ind w:left="111" w:right="271" w:firstLine="640"/>
      </w:pPr>
      <w:r>
        <w:rPr>
          <w:w w:val="95"/>
        </w:rPr>
        <w:t>（二</w:t>
      </w:r>
      <w:r>
        <w:rPr>
          <w:spacing w:val="-22"/>
          <w:w w:val="95"/>
        </w:rPr>
        <w:t>）</w:t>
      </w:r>
      <w:r>
        <w:rPr>
          <w:spacing w:val="-8"/>
          <w:w w:val="95"/>
        </w:rPr>
        <w:t>硕士生</w:t>
      </w:r>
      <w:r>
        <w:rPr>
          <w:w w:val="95"/>
        </w:rPr>
        <w:t>（</w:t>
      </w:r>
      <w:r>
        <w:rPr>
          <w:spacing w:val="-6"/>
          <w:w w:val="95"/>
        </w:rPr>
        <w:t>含学术型学位、专业学位，下同</w:t>
      </w:r>
      <w:r>
        <w:rPr>
          <w:spacing w:val="-24"/>
          <w:w w:val="95"/>
        </w:rPr>
        <w:t>）</w:t>
      </w:r>
      <w:r>
        <w:rPr>
          <w:w w:val="95"/>
        </w:rPr>
        <w:t>新生学业 </w:t>
      </w:r>
      <w:r>
        <w:rPr/>
        <w:t>奖学金奖励等级、标准和比例：</w:t>
      </w:r>
    </w:p>
    <w:p>
      <w:pPr>
        <w:pStyle w:val="BodyText"/>
        <w:spacing w:line="340" w:lineRule="auto" w:before="3"/>
        <w:ind w:left="111" w:right="271" w:firstLine="640"/>
      </w:pPr>
      <w:r>
        <w:rPr/>
        <w:pict>
          <v:shape style="position:absolute;margin-left:147.919998pt;margin-top:50.891003pt;width:299.9pt;height:75.7pt;mso-position-horizontal-relative:page;mso-position-vertical-relative:paragraph;z-index:15729152"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38"/>
                    <w:gridCol w:w="2047"/>
                    <w:gridCol w:w="1784"/>
                  </w:tblGrid>
                  <w:tr>
                    <w:trPr>
                      <w:trHeight w:val="477" w:hRule="atLeast"/>
                    </w:trPr>
                    <w:tc>
                      <w:tcPr>
                        <w:tcW w:w="2138" w:type="dxa"/>
                      </w:tcPr>
                      <w:p>
                        <w:pPr>
                          <w:pStyle w:val="TableParagraph"/>
                          <w:spacing w:before="92"/>
                          <w:ind w:left="348"/>
                          <w:jc w:val="left"/>
                          <w:rPr>
                            <w:sz w:val="24"/>
                          </w:rPr>
                        </w:pPr>
                        <w:r>
                          <w:rPr>
                            <w:sz w:val="24"/>
                          </w:rPr>
                          <w:t>报考学校志愿</w:t>
                        </w:r>
                      </w:p>
                    </w:tc>
                    <w:tc>
                      <w:tcPr>
                        <w:tcW w:w="2047" w:type="dxa"/>
                      </w:tcPr>
                      <w:p>
                        <w:pPr>
                          <w:pStyle w:val="TableParagraph"/>
                          <w:spacing w:before="92"/>
                          <w:ind w:left="543"/>
                          <w:jc w:val="left"/>
                          <w:rPr>
                            <w:sz w:val="24"/>
                          </w:rPr>
                        </w:pPr>
                        <w:r>
                          <w:rPr>
                            <w:sz w:val="24"/>
                          </w:rPr>
                          <w:t>奖励标准</w:t>
                        </w:r>
                      </w:p>
                    </w:tc>
                    <w:tc>
                      <w:tcPr>
                        <w:tcW w:w="1784" w:type="dxa"/>
                      </w:tcPr>
                      <w:p>
                        <w:pPr>
                          <w:pStyle w:val="TableParagraph"/>
                          <w:spacing w:before="92"/>
                          <w:ind w:left="411"/>
                          <w:jc w:val="left"/>
                          <w:rPr>
                            <w:sz w:val="24"/>
                          </w:rPr>
                        </w:pPr>
                        <w:r>
                          <w:rPr>
                            <w:sz w:val="24"/>
                          </w:rPr>
                          <w:t>奖励比例</w:t>
                        </w:r>
                      </w:p>
                    </w:tc>
                  </w:tr>
                  <w:tr>
                    <w:trPr>
                      <w:trHeight w:val="478" w:hRule="atLeast"/>
                    </w:trPr>
                    <w:tc>
                      <w:tcPr>
                        <w:tcW w:w="2138" w:type="dxa"/>
                      </w:tcPr>
                      <w:p>
                        <w:pPr>
                          <w:pStyle w:val="TableParagraph"/>
                          <w:spacing w:before="90"/>
                          <w:ind w:left="108" w:right="-44"/>
                          <w:jc w:val="left"/>
                          <w:rPr>
                            <w:sz w:val="24"/>
                          </w:rPr>
                        </w:pPr>
                        <w:r>
                          <w:rPr>
                            <w:spacing w:val="-40"/>
                            <w:sz w:val="24"/>
                          </w:rPr>
                          <w:t>一志愿</w:t>
                        </w:r>
                        <w:r>
                          <w:rPr>
                            <w:sz w:val="24"/>
                          </w:rPr>
                          <w:t>（含推免生）</w:t>
                        </w:r>
                      </w:p>
                    </w:tc>
                    <w:tc>
                      <w:tcPr>
                        <w:tcW w:w="2047" w:type="dxa"/>
                      </w:tcPr>
                      <w:p>
                        <w:pPr>
                          <w:pStyle w:val="TableParagraph"/>
                          <w:spacing w:before="95"/>
                          <w:ind w:left="151"/>
                          <w:jc w:val="left"/>
                          <w:rPr>
                            <w:sz w:val="24"/>
                          </w:rPr>
                        </w:pPr>
                        <w:r>
                          <w:rPr>
                            <w:spacing w:val="-10"/>
                            <w:sz w:val="24"/>
                          </w:rPr>
                          <w:t>当年学费的 </w:t>
                        </w:r>
                        <w:r>
                          <w:rPr>
                            <w:sz w:val="24"/>
                          </w:rPr>
                          <w:t>100</w:t>
                        </w:r>
                        <w:r>
                          <w:rPr>
                            <w:spacing w:val="5"/>
                            <w:sz w:val="24"/>
                          </w:rPr>
                          <w:drawing>
                            <wp:inline distT="0" distB="0" distL="0" distR="0">
                              <wp:extent cx="66674" cy="117474"/>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c>
                      <w:tcPr>
                        <w:tcW w:w="1784" w:type="dxa"/>
                        <w:vMerge w:val="restart"/>
                      </w:tcPr>
                      <w:p>
                        <w:pPr>
                          <w:pStyle w:val="TableParagraph"/>
                          <w:spacing w:before="12"/>
                          <w:ind w:left="0"/>
                          <w:jc w:val="left"/>
                          <w:rPr>
                            <w:sz w:val="26"/>
                          </w:rPr>
                        </w:pPr>
                      </w:p>
                      <w:p>
                        <w:pPr>
                          <w:pStyle w:val="TableParagraph"/>
                          <w:ind w:left="573" w:right="565"/>
                          <w:rPr>
                            <w:sz w:val="24"/>
                          </w:rPr>
                        </w:pPr>
                        <w:r>
                          <w:rPr>
                            <w:sz w:val="24"/>
                          </w:rPr>
                          <w:t>100 </w:t>
                        </w:r>
                        <w:r>
                          <w:rPr>
                            <w:spacing w:val="5"/>
                            <w:sz w:val="24"/>
                          </w:rPr>
                          <w:drawing>
                            <wp:inline distT="0" distB="0" distL="0" distR="0">
                              <wp:extent cx="66674" cy="117474"/>
                              <wp:effectExtent l="0" t="0" r="0" b="0"/>
                              <wp:docPr id="7" name="image3.png"/>
                              <wp:cNvGraphicFramePr>
                                <a:graphicFrameLocks noChangeAspect="1"/>
                              </wp:cNvGraphicFramePr>
                              <a:graphic>
                                <a:graphicData uri="http://schemas.openxmlformats.org/drawingml/2006/picture">
                                  <pic:pic>
                                    <pic:nvPicPr>
                                      <pic:cNvPr id="8"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r>
                  <w:tr>
                    <w:trPr>
                      <w:trHeight w:val="477" w:hRule="atLeast"/>
                    </w:trPr>
                    <w:tc>
                      <w:tcPr>
                        <w:tcW w:w="2138" w:type="dxa"/>
                      </w:tcPr>
                      <w:p>
                        <w:pPr>
                          <w:pStyle w:val="TableParagraph"/>
                          <w:spacing w:before="92"/>
                          <w:ind w:left="588"/>
                          <w:jc w:val="left"/>
                          <w:rPr>
                            <w:sz w:val="24"/>
                          </w:rPr>
                        </w:pPr>
                        <w:r>
                          <w:rPr>
                            <w:sz w:val="24"/>
                          </w:rPr>
                          <w:t>调剂志愿</w:t>
                        </w:r>
                      </w:p>
                    </w:tc>
                    <w:tc>
                      <w:tcPr>
                        <w:tcW w:w="2047" w:type="dxa"/>
                      </w:tcPr>
                      <w:p>
                        <w:pPr>
                          <w:pStyle w:val="TableParagraph"/>
                          <w:spacing w:before="87"/>
                          <w:ind w:left="211"/>
                          <w:jc w:val="left"/>
                          <w:rPr>
                            <w:sz w:val="24"/>
                          </w:rPr>
                        </w:pPr>
                        <w:r>
                          <w:rPr>
                            <w:spacing w:val="-10"/>
                            <w:position w:val="1"/>
                            <w:sz w:val="24"/>
                          </w:rPr>
                          <w:t>当年学费的 </w:t>
                        </w:r>
                        <w:r>
                          <w:rPr>
                            <w:spacing w:val="2"/>
                            <w:position w:val="1"/>
                            <w:sz w:val="24"/>
                          </w:rPr>
                          <w:t>80</w:t>
                        </w:r>
                        <w:r>
                          <w:rPr>
                            <w:spacing w:val="5"/>
                            <w:sz w:val="24"/>
                          </w:rPr>
                          <w:drawing>
                            <wp:inline distT="0" distB="0" distL="0" distR="0">
                              <wp:extent cx="66674" cy="117474"/>
                              <wp:effectExtent l="0" t="0" r="0" b="0"/>
                              <wp:docPr id="9" name="image3.png"/>
                              <wp:cNvGraphicFramePr>
                                <a:graphicFrameLocks noChangeAspect="1"/>
                              </wp:cNvGraphicFramePr>
                              <a:graphic>
                                <a:graphicData uri="http://schemas.openxmlformats.org/drawingml/2006/picture">
                                  <pic:pic>
                                    <pic:nvPicPr>
                                      <pic:cNvPr id="10"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c>
                      <w:tcPr>
                        <w:tcW w:w="1784" w:type="dxa"/>
                        <w:vMerge/>
                        <w:tcBorders>
                          <w:top w:val="nil"/>
                        </w:tcBorders>
                      </w:tcPr>
                      <w:p>
                        <w:pPr>
                          <w:rPr>
                            <w:sz w:val="2"/>
                            <w:szCs w:val="2"/>
                          </w:rPr>
                        </w:pPr>
                      </w:p>
                    </w:tc>
                  </w:tr>
                </w:tbl>
                <w:p>
                  <w:pPr>
                    <w:pStyle w:val="BodyText"/>
                  </w:pPr>
                </w:p>
              </w:txbxContent>
            </v:textbox>
            <w10:wrap type="none"/>
          </v:shape>
        </w:pict>
      </w:r>
      <w:r>
        <w:rPr>
          <w:spacing w:val="-5"/>
          <w:w w:val="95"/>
        </w:rPr>
        <w:t>硕士生新生学业奖学金发放对象为一年级硕士研究生，分一 </w:t>
      </w:r>
      <w:r>
        <w:rPr>
          <w:spacing w:val="-5"/>
        </w:rPr>
        <w:t>志愿考生（含推免生）和调剂志愿考生两档实施。</w:t>
      </w:r>
    </w:p>
    <w:p>
      <w:pPr>
        <w:spacing w:after="0" w:line="340" w:lineRule="auto"/>
        <w:sectPr>
          <w:pgSz w:w="11910" w:h="16840"/>
          <w:pgMar w:header="0" w:footer="1804" w:top="1580" w:bottom="2000" w:left="1420" w:right="1260"/>
        </w:sectPr>
      </w:pPr>
    </w:p>
    <w:p>
      <w:pPr>
        <w:pStyle w:val="BodyText"/>
        <w:rPr>
          <w:sz w:val="20"/>
        </w:rPr>
      </w:pPr>
    </w:p>
    <w:p>
      <w:pPr>
        <w:pStyle w:val="BodyText"/>
        <w:rPr>
          <w:sz w:val="20"/>
        </w:rPr>
      </w:pPr>
    </w:p>
    <w:p>
      <w:pPr>
        <w:pStyle w:val="BodyText"/>
        <w:tabs>
          <w:tab w:pos="2033" w:val="left" w:leader="none"/>
        </w:tabs>
        <w:spacing w:before="192"/>
        <w:ind w:left="751"/>
      </w:pPr>
      <w:r>
        <w:rPr>
          <w:rFonts w:ascii="臺灣新細明體" w:eastAsia="臺灣新細明體" w:hint="eastAsia"/>
          <w:b w:val="0"/>
        </w:rPr>
        <w:t>第九条</w:t>
        <w:tab/>
      </w:r>
      <w:r>
        <w:rPr/>
        <w:t>学校研究生学年学业奖学金奖励等级、标准和比</w:t>
      </w:r>
    </w:p>
    <w:p>
      <w:pPr>
        <w:pStyle w:val="BodyText"/>
        <w:spacing w:before="177"/>
        <w:ind w:left="111"/>
      </w:pPr>
      <w:r>
        <w:rPr/>
        <w:t>例：</w:t>
      </w:r>
    </w:p>
    <w:p>
      <w:pPr>
        <w:pStyle w:val="BodyText"/>
        <w:spacing w:before="3" w:after="1"/>
        <w:rPr>
          <w:sz w:val="8"/>
        </w:rPr>
      </w:pPr>
    </w:p>
    <w:tbl>
      <w:tblPr>
        <w:tblW w:w="0" w:type="auto"/>
        <w:jc w:val="left"/>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75"/>
        <w:gridCol w:w="1687"/>
        <w:gridCol w:w="1993"/>
        <w:gridCol w:w="2261"/>
      </w:tblGrid>
      <w:tr>
        <w:trPr>
          <w:trHeight w:val="608" w:hRule="atLeast"/>
        </w:trPr>
        <w:tc>
          <w:tcPr>
            <w:tcW w:w="1875" w:type="dxa"/>
          </w:tcPr>
          <w:p>
            <w:pPr>
              <w:pStyle w:val="TableParagraph"/>
              <w:spacing w:before="151"/>
              <w:ind w:left="615" w:right="609"/>
              <w:rPr>
                <w:sz w:val="24"/>
              </w:rPr>
            </w:pPr>
            <w:r>
              <w:rPr>
                <w:sz w:val="24"/>
              </w:rPr>
              <w:t>类 别</w:t>
            </w:r>
          </w:p>
        </w:tc>
        <w:tc>
          <w:tcPr>
            <w:tcW w:w="1687" w:type="dxa"/>
          </w:tcPr>
          <w:p>
            <w:pPr>
              <w:pStyle w:val="TableParagraph"/>
              <w:spacing w:before="151"/>
              <w:ind w:right="513"/>
              <w:rPr>
                <w:sz w:val="24"/>
              </w:rPr>
            </w:pPr>
            <w:r>
              <w:rPr>
                <w:sz w:val="24"/>
              </w:rPr>
              <w:t>等 级</w:t>
            </w:r>
          </w:p>
        </w:tc>
        <w:tc>
          <w:tcPr>
            <w:tcW w:w="1993" w:type="dxa"/>
          </w:tcPr>
          <w:p>
            <w:pPr>
              <w:pStyle w:val="TableParagraph"/>
              <w:spacing w:before="151"/>
              <w:ind w:left="314" w:right="307"/>
              <w:rPr>
                <w:sz w:val="24"/>
              </w:rPr>
            </w:pPr>
            <w:r>
              <w:rPr>
                <w:sz w:val="24"/>
              </w:rPr>
              <w:t>奖励标准</w:t>
            </w:r>
          </w:p>
        </w:tc>
        <w:tc>
          <w:tcPr>
            <w:tcW w:w="2261" w:type="dxa"/>
          </w:tcPr>
          <w:p>
            <w:pPr>
              <w:pStyle w:val="TableParagraph"/>
              <w:spacing w:before="151"/>
              <w:ind w:left="648"/>
              <w:jc w:val="left"/>
              <w:rPr>
                <w:sz w:val="24"/>
              </w:rPr>
            </w:pPr>
            <w:r>
              <w:rPr>
                <w:sz w:val="24"/>
              </w:rPr>
              <w:t>奖励比例</w:t>
            </w:r>
          </w:p>
        </w:tc>
      </w:tr>
      <w:tr>
        <w:trPr>
          <w:trHeight w:val="528" w:hRule="atLeast"/>
        </w:trPr>
        <w:tc>
          <w:tcPr>
            <w:tcW w:w="1875" w:type="dxa"/>
            <w:vMerge w:val="restart"/>
          </w:tcPr>
          <w:p>
            <w:pPr>
              <w:pStyle w:val="TableParagraph"/>
              <w:ind w:left="0"/>
              <w:jc w:val="left"/>
              <w:rPr>
                <w:sz w:val="24"/>
              </w:rPr>
            </w:pPr>
          </w:p>
          <w:p>
            <w:pPr>
              <w:pStyle w:val="TableParagraph"/>
              <w:spacing w:before="8"/>
              <w:ind w:left="0"/>
              <w:jc w:val="left"/>
              <w:rPr>
                <w:sz w:val="26"/>
              </w:rPr>
            </w:pPr>
          </w:p>
          <w:p>
            <w:pPr>
              <w:pStyle w:val="TableParagraph"/>
              <w:ind w:left="575"/>
              <w:jc w:val="left"/>
              <w:rPr>
                <w:sz w:val="24"/>
              </w:rPr>
            </w:pPr>
            <w:r>
              <w:rPr>
                <w:sz w:val="24"/>
              </w:rPr>
              <w:t>博士生</w:t>
            </w:r>
          </w:p>
        </w:tc>
        <w:tc>
          <w:tcPr>
            <w:tcW w:w="1687" w:type="dxa"/>
          </w:tcPr>
          <w:p>
            <w:pPr>
              <w:pStyle w:val="TableParagraph"/>
              <w:spacing w:before="112"/>
              <w:ind w:right="513"/>
              <w:rPr>
                <w:sz w:val="24"/>
              </w:rPr>
            </w:pPr>
            <w:r>
              <w:rPr>
                <w:sz w:val="24"/>
              </w:rPr>
              <w:t>一等</w:t>
            </w:r>
          </w:p>
        </w:tc>
        <w:tc>
          <w:tcPr>
            <w:tcW w:w="1993" w:type="dxa"/>
          </w:tcPr>
          <w:p>
            <w:pPr>
              <w:pStyle w:val="TableParagraph"/>
              <w:spacing w:before="112"/>
              <w:ind w:left="316" w:right="307"/>
              <w:rPr>
                <w:sz w:val="24"/>
              </w:rPr>
            </w:pPr>
            <w:r>
              <w:rPr>
                <w:sz w:val="24"/>
              </w:rPr>
              <w:t>18000 元/年</w:t>
            </w:r>
          </w:p>
        </w:tc>
        <w:tc>
          <w:tcPr>
            <w:tcW w:w="2261" w:type="dxa"/>
          </w:tcPr>
          <w:p>
            <w:pPr>
              <w:pStyle w:val="TableParagraph"/>
              <w:spacing w:before="116"/>
              <w:ind w:left="869" w:right="870"/>
              <w:rPr>
                <w:sz w:val="24"/>
              </w:rPr>
            </w:pPr>
            <w:r>
              <w:rPr>
                <w:spacing w:val="2"/>
                <w:sz w:val="24"/>
              </w:rPr>
              <w:t>20 </w:t>
            </w:r>
            <w:r>
              <w:rPr>
                <w:spacing w:val="5"/>
                <w:sz w:val="24"/>
              </w:rPr>
              <w:drawing>
                <wp:inline distT="0" distB="0" distL="0" distR="0">
                  <wp:extent cx="66674" cy="117474"/>
                  <wp:effectExtent l="0" t="0" r="0" b="0"/>
                  <wp:docPr id="11" name="image3.png"/>
                  <wp:cNvGraphicFramePr>
                    <a:graphicFrameLocks noChangeAspect="1"/>
                  </wp:cNvGraphicFramePr>
                  <a:graphic>
                    <a:graphicData uri="http://schemas.openxmlformats.org/drawingml/2006/picture">
                      <pic:pic>
                        <pic:nvPicPr>
                          <pic:cNvPr id="12"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r>
      <w:tr>
        <w:trPr>
          <w:trHeight w:val="529" w:hRule="atLeast"/>
        </w:trPr>
        <w:tc>
          <w:tcPr>
            <w:tcW w:w="1875" w:type="dxa"/>
            <w:vMerge/>
            <w:tcBorders>
              <w:top w:val="nil"/>
            </w:tcBorders>
          </w:tcPr>
          <w:p>
            <w:pPr>
              <w:rPr>
                <w:sz w:val="2"/>
                <w:szCs w:val="2"/>
              </w:rPr>
            </w:pPr>
          </w:p>
        </w:tc>
        <w:tc>
          <w:tcPr>
            <w:tcW w:w="1687" w:type="dxa"/>
          </w:tcPr>
          <w:p>
            <w:pPr>
              <w:pStyle w:val="TableParagraph"/>
              <w:spacing w:before="110"/>
              <w:ind w:right="513"/>
              <w:rPr>
                <w:sz w:val="24"/>
              </w:rPr>
            </w:pPr>
            <w:r>
              <w:rPr>
                <w:sz w:val="24"/>
              </w:rPr>
              <w:t>二等</w:t>
            </w:r>
          </w:p>
        </w:tc>
        <w:tc>
          <w:tcPr>
            <w:tcW w:w="1993" w:type="dxa"/>
          </w:tcPr>
          <w:p>
            <w:pPr>
              <w:pStyle w:val="TableParagraph"/>
              <w:spacing w:before="110"/>
              <w:ind w:left="316" w:right="307"/>
              <w:rPr>
                <w:sz w:val="24"/>
              </w:rPr>
            </w:pPr>
            <w:r>
              <w:rPr>
                <w:sz w:val="24"/>
              </w:rPr>
              <w:t>14000 元/年</w:t>
            </w:r>
          </w:p>
        </w:tc>
        <w:tc>
          <w:tcPr>
            <w:tcW w:w="2261" w:type="dxa"/>
          </w:tcPr>
          <w:p>
            <w:pPr>
              <w:pStyle w:val="TableParagraph"/>
              <w:spacing w:before="105"/>
              <w:ind w:left="869" w:right="870"/>
              <w:rPr>
                <w:sz w:val="24"/>
              </w:rPr>
            </w:pPr>
            <w:r>
              <w:rPr>
                <w:spacing w:val="2"/>
                <w:position w:val="1"/>
                <w:sz w:val="24"/>
              </w:rPr>
              <w:t>30 </w:t>
            </w:r>
            <w:r>
              <w:rPr>
                <w:spacing w:val="5"/>
                <w:sz w:val="24"/>
              </w:rPr>
              <w:drawing>
                <wp:inline distT="0" distB="0" distL="0" distR="0">
                  <wp:extent cx="66674" cy="117474"/>
                  <wp:effectExtent l="0" t="0" r="0" b="0"/>
                  <wp:docPr id="13" name="image3.png"/>
                  <wp:cNvGraphicFramePr>
                    <a:graphicFrameLocks noChangeAspect="1"/>
                  </wp:cNvGraphicFramePr>
                  <a:graphic>
                    <a:graphicData uri="http://schemas.openxmlformats.org/drawingml/2006/picture">
                      <pic:pic>
                        <pic:nvPicPr>
                          <pic:cNvPr id="14"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r>
      <w:tr>
        <w:trPr>
          <w:trHeight w:val="528" w:hRule="atLeast"/>
        </w:trPr>
        <w:tc>
          <w:tcPr>
            <w:tcW w:w="1875" w:type="dxa"/>
            <w:vMerge/>
            <w:tcBorders>
              <w:top w:val="nil"/>
            </w:tcBorders>
          </w:tcPr>
          <w:p>
            <w:pPr>
              <w:rPr>
                <w:sz w:val="2"/>
                <w:szCs w:val="2"/>
              </w:rPr>
            </w:pPr>
          </w:p>
        </w:tc>
        <w:tc>
          <w:tcPr>
            <w:tcW w:w="1687" w:type="dxa"/>
          </w:tcPr>
          <w:p>
            <w:pPr>
              <w:pStyle w:val="TableParagraph"/>
              <w:spacing w:before="111"/>
              <w:ind w:right="513"/>
              <w:rPr>
                <w:sz w:val="24"/>
              </w:rPr>
            </w:pPr>
            <w:r>
              <w:rPr>
                <w:sz w:val="24"/>
              </w:rPr>
              <w:t>三等</w:t>
            </w:r>
          </w:p>
        </w:tc>
        <w:tc>
          <w:tcPr>
            <w:tcW w:w="1993" w:type="dxa"/>
          </w:tcPr>
          <w:p>
            <w:pPr>
              <w:pStyle w:val="TableParagraph"/>
              <w:spacing w:before="111"/>
              <w:ind w:left="316" w:right="307"/>
              <w:rPr>
                <w:sz w:val="24"/>
              </w:rPr>
            </w:pPr>
            <w:r>
              <w:rPr>
                <w:sz w:val="24"/>
              </w:rPr>
              <w:t>10000 元/年</w:t>
            </w:r>
          </w:p>
        </w:tc>
        <w:tc>
          <w:tcPr>
            <w:tcW w:w="2261" w:type="dxa"/>
          </w:tcPr>
          <w:p>
            <w:pPr>
              <w:pStyle w:val="TableParagraph"/>
              <w:spacing w:before="106"/>
              <w:ind w:left="869" w:right="870"/>
              <w:rPr>
                <w:sz w:val="24"/>
              </w:rPr>
            </w:pPr>
            <w:r>
              <w:rPr>
                <w:spacing w:val="2"/>
                <w:position w:val="1"/>
                <w:sz w:val="24"/>
              </w:rPr>
              <w:t>50 </w:t>
            </w:r>
            <w:r>
              <w:rPr>
                <w:spacing w:val="5"/>
                <w:sz w:val="24"/>
              </w:rPr>
              <w:drawing>
                <wp:inline distT="0" distB="0" distL="0" distR="0">
                  <wp:extent cx="66674" cy="117474"/>
                  <wp:effectExtent l="0" t="0" r="0" b="0"/>
                  <wp:docPr id="15" name="image3.png"/>
                  <wp:cNvGraphicFramePr>
                    <a:graphicFrameLocks noChangeAspect="1"/>
                  </wp:cNvGraphicFramePr>
                  <a:graphic>
                    <a:graphicData uri="http://schemas.openxmlformats.org/drawingml/2006/picture">
                      <pic:pic>
                        <pic:nvPicPr>
                          <pic:cNvPr id="16"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r>
      <w:tr>
        <w:trPr>
          <w:trHeight w:val="529" w:hRule="atLeast"/>
        </w:trPr>
        <w:tc>
          <w:tcPr>
            <w:tcW w:w="1875" w:type="dxa"/>
            <w:vMerge w:val="restart"/>
          </w:tcPr>
          <w:p>
            <w:pPr>
              <w:pStyle w:val="TableParagraph"/>
              <w:ind w:left="0"/>
              <w:jc w:val="left"/>
              <w:rPr>
                <w:sz w:val="24"/>
              </w:rPr>
            </w:pPr>
          </w:p>
          <w:p>
            <w:pPr>
              <w:pStyle w:val="TableParagraph"/>
              <w:spacing w:before="9"/>
              <w:ind w:left="0"/>
              <w:jc w:val="left"/>
              <w:rPr>
                <w:sz w:val="26"/>
              </w:rPr>
            </w:pPr>
          </w:p>
          <w:p>
            <w:pPr>
              <w:pStyle w:val="TableParagraph"/>
              <w:ind w:left="575"/>
              <w:jc w:val="left"/>
              <w:rPr>
                <w:sz w:val="24"/>
              </w:rPr>
            </w:pPr>
            <w:r>
              <w:rPr>
                <w:sz w:val="24"/>
              </w:rPr>
              <w:t>硕士生</w:t>
            </w:r>
          </w:p>
        </w:tc>
        <w:tc>
          <w:tcPr>
            <w:tcW w:w="1687" w:type="dxa"/>
          </w:tcPr>
          <w:p>
            <w:pPr>
              <w:pStyle w:val="TableParagraph"/>
              <w:spacing w:before="110"/>
              <w:ind w:right="513"/>
              <w:rPr>
                <w:sz w:val="24"/>
              </w:rPr>
            </w:pPr>
            <w:r>
              <w:rPr>
                <w:sz w:val="24"/>
              </w:rPr>
              <w:t>一等</w:t>
            </w:r>
          </w:p>
        </w:tc>
        <w:tc>
          <w:tcPr>
            <w:tcW w:w="1993" w:type="dxa"/>
          </w:tcPr>
          <w:p>
            <w:pPr>
              <w:pStyle w:val="TableParagraph"/>
              <w:spacing w:before="110"/>
              <w:ind w:left="316" w:right="307"/>
              <w:rPr>
                <w:sz w:val="24"/>
              </w:rPr>
            </w:pPr>
            <w:r>
              <w:rPr>
                <w:sz w:val="24"/>
              </w:rPr>
              <w:t>12000 元/年</w:t>
            </w:r>
          </w:p>
        </w:tc>
        <w:tc>
          <w:tcPr>
            <w:tcW w:w="2261" w:type="dxa"/>
          </w:tcPr>
          <w:p>
            <w:pPr>
              <w:pStyle w:val="TableParagraph"/>
              <w:spacing w:before="105"/>
              <w:ind w:left="869" w:right="870"/>
              <w:rPr>
                <w:sz w:val="24"/>
              </w:rPr>
            </w:pPr>
            <w:r>
              <w:rPr>
                <w:spacing w:val="2"/>
                <w:position w:val="1"/>
                <w:sz w:val="24"/>
              </w:rPr>
              <w:t>20 </w:t>
            </w:r>
            <w:r>
              <w:rPr>
                <w:spacing w:val="5"/>
                <w:sz w:val="24"/>
              </w:rPr>
              <w:drawing>
                <wp:inline distT="0" distB="0" distL="0" distR="0">
                  <wp:extent cx="66674" cy="117474"/>
                  <wp:effectExtent l="0" t="0" r="0" b="0"/>
                  <wp:docPr id="17" name="image3.png"/>
                  <wp:cNvGraphicFramePr>
                    <a:graphicFrameLocks noChangeAspect="1"/>
                  </wp:cNvGraphicFramePr>
                  <a:graphic>
                    <a:graphicData uri="http://schemas.openxmlformats.org/drawingml/2006/picture">
                      <pic:pic>
                        <pic:nvPicPr>
                          <pic:cNvPr id="18"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r>
      <w:tr>
        <w:trPr>
          <w:trHeight w:val="528" w:hRule="atLeast"/>
        </w:trPr>
        <w:tc>
          <w:tcPr>
            <w:tcW w:w="1875" w:type="dxa"/>
            <w:vMerge/>
            <w:tcBorders>
              <w:top w:val="nil"/>
            </w:tcBorders>
          </w:tcPr>
          <w:p>
            <w:pPr>
              <w:rPr>
                <w:sz w:val="2"/>
                <w:szCs w:val="2"/>
              </w:rPr>
            </w:pPr>
          </w:p>
        </w:tc>
        <w:tc>
          <w:tcPr>
            <w:tcW w:w="1687" w:type="dxa"/>
          </w:tcPr>
          <w:p>
            <w:pPr>
              <w:pStyle w:val="TableParagraph"/>
              <w:spacing w:before="111"/>
              <w:ind w:right="513"/>
              <w:rPr>
                <w:sz w:val="24"/>
              </w:rPr>
            </w:pPr>
            <w:r>
              <w:rPr>
                <w:sz w:val="24"/>
              </w:rPr>
              <w:t>二等</w:t>
            </w:r>
          </w:p>
        </w:tc>
        <w:tc>
          <w:tcPr>
            <w:tcW w:w="1993" w:type="dxa"/>
          </w:tcPr>
          <w:p>
            <w:pPr>
              <w:pStyle w:val="TableParagraph"/>
              <w:spacing w:before="111"/>
              <w:ind w:left="316" w:right="307"/>
              <w:rPr>
                <w:sz w:val="24"/>
              </w:rPr>
            </w:pPr>
            <w:r>
              <w:rPr>
                <w:sz w:val="24"/>
              </w:rPr>
              <w:t>10000 元/年</w:t>
            </w:r>
          </w:p>
        </w:tc>
        <w:tc>
          <w:tcPr>
            <w:tcW w:w="2261" w:type="dxa"/>
          </w:tcPr>
          <w:p>
            <w:pPr>
              <w:pStyle w:val="TableParagraph"/>
              <w:spacing w:before="106"/>
              <w:ind w:left="869" w:right="870"/>
              <w:rPr>
                <w:sz w:val="24"/>
              </w:rPr>
            </w:pPr>
            <w:r>
              <w:rPr>
                <w:spacing w:val="2"/>
                <w:position w:val="1"/>
                <w:sz w:val="24"/>
              </w:rPr>
              <w:t>30 </w:t>
            </w:r>
            <w:r>
              <w:rPr>
                <w:spacing w:val="5"/>
                <w:sz w:val="24"/>
              </w:rPr>
              <w:drawing>
                <wp:inline distT="0" distB="0" distL="0" distR="0">
                  <wp:extent cx="66674" cy="117474"/>
                  <wp:effectExtent l="0" t="0" r="0" b="0"/>
                  <wp:docPr id="19" name="image3.png"/>
                  <wp:cNvGraphicFramePr>
                    <a:graphicFrameLocks noChangeAspect="1"/>
                  </wp:cNvGraphicFramePr>
                  <a:graphic>
                    <a:graphicData uri="http://schemas.openxmlformats.org/drawingml/2006/picture">
                      <pic:pic>
                        <pic:nvPicPr>
                          <pic:cNvPr id="20"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r>
      <w:tr>
        <w:trPr>
          <w:trHeight w:val="529" w:hRule="atLeast"/>
        </w:trPr>
        <w:tc>
          <w:tcPr>
            <w:tcW w:w="1875" w:type="dxa"/>
            <w:vMerge/>
            <w:tcBorders>
              <w:top w:val="nil"/>
            </w:tcBorders>
          </w:tcPr>
          <w:p>
            <w:pPr>
              <w:rPr>
                <w:sz w:val="2"/>
                <w:szCs w:val="2"/>
              </w:rPr>
            </w:pPr>
          </w:p>
        </w:tc>
        <w:tc>
          <w:tcPr>
            <w:tcW w:w="1687" w:type="dxa"/>
          </w:tcPr>
          <w:p>
            <w:pPr>
              <w:pStyle w:val="TableParagraph"/>
              <w:spacing w:before="112"/>
              <w:ind w:right="513"/>
              <w:rPr>
                <w:sz w:val="24"/>
              </w:rPr>
            </w:pPr>
            <w:r>
              <w:rPr>
                <w:sz w:val="24"/>
              </w:rPr>
              <w:t>三等</w:t>
            </w:r>
          </w:p>
        </w:tc>
        <w:tc>
          <w:tcPr>
            <w:tcW w:w="1993" w:type="dxa"/>
          </w:tcPr>
          <w:p>
            <w:pPr>
              <w:pStyle w:val="TableParagraph"/>
              <w:spacing w:before="112"/>
              <w:ind w:left="316" w:right="307"/>
              <w:rPr>
                <w:sz w:val="24"/>
              </w:rPr>
            </w:pPr>
            <w:r>
              <w:rPr>
                <w:sz w:val="24"/>
              </w:rPr>
              <w:t>8000 元/年</w:t>
            </w:r>
          </w:p>
        </w:tc>
        <w:tc>
          <w:tcPr>
            <w:tcW w:w="2261" w:type="dxa"/>
          </w:tcPr>
          <w:p>
            <w:pPr>
              <w:pStyle w:val="TableParagraph"/>
              <w:spacing w:before="117"/>
              <w:ind w:left="869" w:right="870"/>
              <w:rPr>
                <w:sz w:val="24"/>
              </w:rPr>
            </w:pPr>
            <w:r>
              <w:rPr>
                <w:spacing w:val="2"/>
                <w:sz w:val="24"/>
              </w:rPr>
              <w:t>50 </w:t>
            </w:r>
            <w:r>
              <w:rPr>
                <w:spacing w:val="5"/>
                <w:sz w:val="24"/>
              </w:rPr>
              <w:drawing>
                <wp:inline distT="0" distB="0" distL="0" distR="0">
                  <wp:extent cx="66674" cy="117474"/>
                  <wp:effectExtent l="0" t="0" r="0" b="0"/>
                  <wp:docPr id="21" name="image3.png"/>
                  <wp:cNvGraphicFramePr>
                    <a:graphicFrameLocks noChangeAspect="1"/>
                  </wp:cNvGraphicFramePr>
                  <a:graphic>
                    <a:graphicData uri="http://schemas.openxmlformats.org/drawingml/2006/picture">
                      <pic:pic>
                        <pic:nvPicPr>
                          <pic:cNvPr id="22" name="image3.png"/>
                          <pic:cNvPicPr/>
                        </pic:nvPicPr>
                        <pic:blipFill>
                          <a:blip r:embed="rId9" cstate="print"/>
                          <a:stretch>
                            <a:fillRect/>
                          </a:stretch>
                        </pic:blipFill>
                        <pic:spPr>
                          <a:xfrm>
                            <a:off x="0" y="0"/>
                            <a:ext cx="66674" cy="117474"/>
                          </a:xfrm>
                          <a:prstGeom prst="rect">
                            <a:avLst/>
                          </a:prstGeom>
                        </pic:spPr>
                      </pic:pic>
                    </a:graphicData>
                  </a:graphic>
                </wp:inline>
              </w:drawing>
            </w:r>
            <w:r>
              <w:rPr>
                <w:spacing w:val="5"/>
                <w:sz w:val="24"/>
              </w:rPr>
            </w:r>
          </w:p>
        </w:tc>
      </w:tr>
    </w:tbl>
    <w:p>
      <w:pPr>
        <w:spacing w:before="82"/>
        <w:ind w:left="480" w:right="160" w:firstLine="0"/>
        <w:jc w:val="center"/>
        <w:rPr>
          <w:sz w:val="24"/>
        </w:rPr>
      </w:pPr>
      <w:r>
        <w:rPr>
          <w:sz w:val="24"/>
        </w:rPr>
        <w:t>注：2.5 年学制的硕士研究生，最后一次发放时，奖励额度减半。</w:t>
      </w:r>
    </w:p>
    <w:p>
      <w:pPr>
        <w:pStyle w:val="BodyText"/>
        <w:spacing w:line="316" w:lineRule="auto" w:before="192"/>
        <w:ind w:left="111" w:right="269" w:firstLine="640"/>
        <w:jc w:val="both"/>
      </w:pPr>
      <w:r>
        <w:rPr>
          <w:rFonts w:ascii="臺灣新細明體" w:eastAsia="臺灣新細明體" w:hint="eastAsia"/>
          <w:b w:val="0"/>
          <w:spacing w:val="4"/>
        </w:rPr>
        <w:t>第十条 </w:t>
      </w:r>
      <w:r>
        <w:rPr/>
        <w:t>直博生和硕博连读研究生，根据当年所修课程的层</w:t>
      </w:r>
      <w:r>
        <w:rPr>
          <w:spacing w:val="-7"/>
        </w:rPr>
        <w:t>次阶段确定身份参与学业奖学金的评定。在选修硕士课程阶段按</w:t>
      </w:r>
      <w:r>
        <w:rPr>
          <w:spacing w:val="-14"/>
        </w:rPr>
        <w:t>照硕士研究生身份参与评定，进入选修博士研究生课程阶段按照博士研究生身份参与评定。</w:t>
      </w:r>
    </w:p>
    <w:p>
      <w:pPr>
        <w:pStyle w:val="BodyText"/>
        <w:spacing w:before="5"/>
        <w:rPr>
          <w:sz w:val="45"/>
        </w:rPr>
      </w:pPr>
    </w:p>
    <w:p>
      <w:pPr>
        <w:pStyle w:val="BodyText"/>
        <w:tabs>
          <w:tab w:pos="1281" w:val="left" w:leader="none"/>
        </w:tabs>
        <w:ind w:right="160"/>
        <w:jc w:val="center"/>
        <w:rPr>
          <w:rFonts w:ascii="黑体" w:eastAsia="黑体" w:hint="eastAsia"/>
        </w:rPr>
      </w:pPr>
      <w:r>
        <w:rPr>
          <w:rFonts w:ascii="黑体" w:eastAsia="黑体" w:hint="eastAsia"/>
        </w:rPr>
        <w:t>第三章</w:t>
        <w:tab/>
        <w:t>申请条件、评奖学年、评奖规则</w:t>
      </w:r>
    </w:p>
    <w:p>
      <w:pPr>
        <w:pStyle w:val="BodyText"/>
        <w:tabs>
          <w:tab w:pos="2355" w:val="left" w:leader="none"/>
        </w:tabs>
        <w:spacing w:before="133"/>
        <w:ind w:left="751"/>
      </w:pPr>
      <w:r>
        <w:rPr>
          <w:rFonts w:ascii="臺灣新細明體" w:eastAsia="臺灣新細明體" w:hint="eastAsia"/>
          <w:b w:val="0"/>
        </w:rPr>
        <w:t>第十一条</w:t>
        <w:tab/>
      </w:r>
      <w:r>
        <w:rPr/>
        <w:t>研究生学业奖学金的基本申请条件</w:t>
      </w:r>
    </w:p>
    <w:p>
      <w:pPr>
        <w:pStyle w:val="BodyText"/>
        <w:spacing w:before="112"/>
        <w:ind w:left="751"/>
      </w:pPr>
      <w:r>
        <w:rPr/>
        <w:t>（一）具有中华人民共和国国籍；</w:t>
      </w:r>
    </w:p>
    <w:p>
      <w:pPr>
        <w:pStyle w:val="BodyText"/>
        <w:spacing w:before="152"/>
        <w:ind w:left="751"/>
      </w:pPr>
      <w:r>
        <w:rPr/>
        <w:t>（二）热爱社会主义祖国，拥护中国共产党的领导；</w:t>
      </w:r>
    </w:p>
    <w:p>
      <w:pPr>
        <w:pStyle w:val="BodyText"/>
        <w:spacing w:before="149"/>
        <w:ind w:left="751"/>
      </w:pPr>
      <w:r>
        <w:rPr/>
        <w:t>（三）遵守宪法和法律，遵守学校规章制度；</w:t>
      </w:r>
    </w:p>
    <w:p>
      <w:pPr>
        <w:pStyle w:val="BodyText"/>
        <w:spacing w:before="149"/>
        <w:ind w:left="751"/>
      </w:pPr>
      <w:r>
        <w:rPr/>
        <w:t>（四）诚实守信，品学兼优；</w:t>
      </w:r>
    </w:p>
    <w:p>
      <w:pPr>
        <w:pStyle w:val="BodyText"/>
        <w:spacing w:before="152"/>
        <w:ind w:left="751"/>
      </w:pPr>
      <w:r>
        <w:rPr/>
        <w:t>（五）积极参与科学研究和社会实践。</w:t>
      </w:r>
    </w:p>
    <w:p>
      <w:pPr>
        <w:spacing w:after="0"/>
        <w:sectPr>
          <w:pgSz w:w="11910" w:h="16840"/>
          <w:pgMar w:header="0" w:footer="1804" w:top="1580" w:bottom="2000" w:left="1420" w:right="1260"/>
        </w:sectPr>
      </w:pPr>
    </w:p>
    <w:p>
      <w:pPr>
        <w:pStyle w:val="BodyText"/>
        <w:rPr>
          <w:sz w:val="20"/>
        </w:rPr>
      </w:pPr>
    </w:p>
    <w:p>
      <w:pPr>
        <w:pStyle w:val="BodyText"/>
        <w:rPr>
          <w:sz w:val="20"/>
        </w:rPr>
      </w:pPr>
    </w:p>
    <w:p>
      <w:pPr>
        <w:pStyle w:val="BodyText"/>
        <w:spacing w:line="297" w:lineRule="auto" w:before="214"/>
        <w:ind w:left="111" w:right="271" w:firstLine="640"/>
        <w:jc w:val="both"/>
      </w:pPr>
      <w:r>
        <w:rPr>
          <w:rFonts w:ascii="臺灣新細明體" w:eastAsia="臺灣新細明體" w:hint="eastAsia"/>
          <w:b w:val="0"/>
          <w:spacing w:val="12"/>
        </w:rPr>
        <w:t>第十二条 </w:t>
      </w:r>
      <w:r>
        <w:rPr>
          <w:spacing w:val="-11"/>
        </w:rPr>
        <w:t>除新生学业奖学金外，在校研究生学年学业奖学</w:t>
      </w:r>
      <w:r>
        <w:rPr>
          <w:spacing w:val="-19"/>
        </w:rPr>
        <w:t>金的评奖学年为上年 </w:t>
      </w:r>
      <w:r>
        <w:rPr/>
        <w:t>9</w:t>
      </w:r>
      <w:r>
        <w:rPr>
          <w:spacing w:val="-53"/>
        </w:rPr>
        <w:t> 月 </w:t>
      </w:r>
      <w:r>
        <w:rPr/>
        <w:t>1</w:t>
      </w:r>
      <w:r>
        <w:rPr>
          <w:spacing w:val="-28"/>
        </w:rPr>
        <w:t> 日至当年 </w:t>
      </w:r>
      <w:r>
        <w:rPr/>
        <w:t>8</w:t>
      </w:r>
      <w:r>
        <w:rPr>
          <w:spacing w:val="-54"/>
        </w:rPr>
        <w:t> 月 </w:t>
      </w:r>
      <w:r>
        <w:rPr/>
        <w:t>31</w:t>
      </w:r>
      <w:r>
        <w:rPr>
          <w:spacing w:val="-27"/>
        </w:rPr>
        <w:t> 日。</w:t>
      </w:r>
    </w:p>
    <w:p>
      <w:pPr>
        <w:pStyle w:val="BodyText"/>
        <w:spacing w:line="316" w:lineRule="auto" w:before="38"/>
        <w:ind w:left="111" w:right="269" w:firstLine="640"/>
        <w:jc w:val="both"/>
      </w:pPr>
      <w:r>
        <w:rPr>
          <w:rFonts w:ascii="臺灣新細明體" w:eastAsia="臺灣新細明體" w:hint="eastAsia"/>
          <w:b w:val="0"/>
          <w:spacing w:val="12"/>
        </w:rPr>
        <w:t>第十三条 </w:t>
      </w:r>
      <w:r>
        <w:rPr>
          <w:spacing w:val="-10"/>
        </w:rPr>
        <w:t>各学院应结合学科特点，根据本办法，制定本学</w:t>
      </w:r>
      <w:r>
        <w:rPr>
          <w:spacing w:val="-15"/>
        </w:rPr>
        <w:t>院学业奖学金评奖实施细则，并依据细则进行评定。学院评奖实</w:t>
      </w:r>
      <w:r>
        <w:rPr>
          <w:spacing w:val="-19"/>
          <w:w w:val="95"/>
        </w:rPr>
        <w:t>施细则以文件形式报研究生院</w:t>
      </w:r>
      <w:r>
        <w:rPr>
          <w:w w:val="95"/>
        </w:rPr>
        <w:t>（研究生工作部</w:t>
      </w:r>
      <w:r>
        <w:rPr>
          <w:spacing w:val="-55"/>
          <w:w w:val="95"/>
        </w:rPr>
        <w:t>）</w:t>
      </w:r>
      <w:r>
        <w:rPr>
          <w:w w:val="95"/>
        </w:rPr>
        <w:t>备案后由各学院 </w:t>
      </w:r>
      <w:r>
        <w:rPr/>
        <w:t>及时向研究生公布。</w:t>
      </w:r>
    </w:p>
    <w:p>
      <w:pPr>
        <w:pStyle w:val="BodyText"/>
        <w:spacing w:line="314" w:lineRule="auto" w:before="4"/>
        <w:ind w:left="111" w:right="266" w:firstLine="640"/>
        <w:jc w:val="both"/>
      </w:pPr>
      <w:r>
        <w:rPr>
          <w:rFonts w:ascii="臺灣新細明體" w:eastAsia="臺灣新細明體" w:hint="eastAsia"/>
          <w:b w:val="0"/>
          <w:spacing w:val="13"/>
        </w:rPr>
        <w:t>第十四条 </w:t>
      </w:r>
      <w:r>
        <w:rPr>
          <w:spacing w:val="-12"/>
        </w:rPr>
        <w:t>在评奖学年内，研究生新生有违反研究生入学考</w:t>
      </w:r>
      <w:r>
        <w:rPr>
          <w:spacing w:val="-14"/>
        </w:rPr>
        <w:t>试规定、在校研究生有违反研究生学籍管理规定或学校学生违纪处分条例的，不得参评当年学业奖学金。</w:t>
      </w:r>
    </w:p>
    <w:p>
      <w:pPr>
        <w:pStyle w:val="BodyText"/>
        <w:spacing w:line="326" w:lineRule="auto" w:before="15"/>
        <w:ind w:left="111" w:right="269" w:firstLine="640"/>
      </w:pPr>
      <w:r>
        <w:rPr>
          <w:spacing w:val="-8"/>
        </w:rPr>
        <w:t>已经获得研究生学业奖学金，若发现有上述情况的，撤销学业奖学金获奖资格，收回奖学金。</w:t>
      </w:r>
    </w:p>
    <w:p>
      <w:pPr>
        <w:pStyle w:val="BodyText"/>
        <w:spacing w:before="1"/>
        <w:rPr>
          <w:sz w:val="44"/>
        </w:rPr>
      </w:pPr>
    </w:p>
    <w:p>
      <w:pPr>
        <w:pStyle w:val="BodyText"/>
        <w:tabs>
          <w:tab w:pos="1279" w:val="left" w:leader="none"/>
        </w:tabs>
        <w:ind w:right="160"/>
        <w:jc w:val="center"/>
        <w:rPr>
          <w:rFonts w:ascii="黑体" w:eastAsia="黑体" w:hint="eastAsia"/>
        </w:rPr>
      </w:pPr>
      <w:r>
        <w:rPr>
          <w:rFonts w:ascii="黑体" w:eastAsia="黑体" w:hint="eastAsia"/>
        </w:rPr>
        <w:t>第四章</w:t>
        <w:tab/>
        <w:t>评审组织与程序</w:t>
      </w:r>
    </w:p>
    <w:p>
      <w:pPr>
        <w:pStyle w:val="BodyText"/>
        <w:spacing w:line="316" w:lineRule="auto" w:before="134"/>
        <w:ind w:left="111" w:right="270" w:firstLine="640"/>
        <w:jc w:val="both"/>
      </w:pPr>
      <w:r>
        <w:rPr>
          <w:rFonts w:ascii="臺灣新細明體" w:eastAsia="臺灣新細明體" w:hint="eastAsia"/>
          <w:b w:val="0"/>
          <w:spacing w:val="12"/>
        </w:rPr>
        <w:t>第十五条 </w:t>
      </w:r>
      <w:r>
        <w:rPr>
          <w:spacing w:val="-7"/>
        </w:rPr>
        <w:t>学校成立研究生学业奖学金评审领导小组，由分</w:t>
      </w:r>
      <w:r>
        <w:rPr>
          <w:spacing w:val="-12"/>
        </w:rPr>
        <w:t>管校领导、相关职能部门负责人以及研究生导师代表等组成。评</w:t>
      </w:r>
      <w:r>
        <w:rPr>
          <w:spacing w:val="-9"/>
        </w:rPr>
        <w:t>审领导小组统筹领导、协调和监督全校评审工作，指导检查奖学金的评定和落实情况，并裁决有关申诉事项。</w:t>
      </w:r>
    </w:p>
    <w:p>
      <w:pPr>
        <w:pStyle w:val="BodyText"/>
        <w:spacing w:line="316" w:lineRule="auto" w:before="6"/>
        <w:ind w:left="111" w:right="270" w:firstLine="640"/>
        <w:jc w:val="both"/>
      </w:pPr>
      <w:r>
        <w:rPr>
          <w:rFonts w:ascii="臺灣新細明體" w:eastAsia="臺灣新細明體" w:hint="eastAsia"/>
          <w:b w:val="0"/>
          <w:spacing w:val="12"/>
        </w:rPr>
        <w:t>第十六条 </w:t>
      </w:r>
      <w:r>
        <w:rPr>
          <w:spacing w:val="-6"/>
        </w:rPr>
        <w:t>各学院成立院研究生学业奖学金评审委员会，由</w:t>
      </w:r>
      <w:r>
        <w:rPr>
          <w:spacing w:val="-14"/>
          <w:w w:val="95"/>
        </w:rPr>
        <w:t>学院主要领导任主任委员，分管领导任副主任委员，研究生导师 </w:t>
      </w:r>
      <w:r>
        <w:rPr>
          <w:spacing w:val="-12"/>
          <w:w w:val="95"/>
        </w:rPr>
        <w:t>代表、研究生辅导员、研究生教学秘书、研究生代表任委员，报 </w:t>
      </w:r>
      <w:r>
        <w:rPr>
          <w:spacing w:val="-12"/>
        </w:rPr>
        <w:t>研究生院（研究生工作部）备案。</w:t>
      </w:r>
    </w:p>
    <w:p>
      <w:pPr>
        <w:pStyle w:val="BodyText"/>
        <w:spacing w:before="4"/>
        <w:ind w:left="751"/>
        <w:jc w:val="both"/>
      </w:pPr>
      <w:r>
        <w:rPr>
          <w:rFonts w:ascii="臺灣新細明體" w:eastAsia="臺灣新細明體" w:hint="eastAsia"/>
          <w:b w:val="0"/>
        </w:rPr>
        <w:t>第十七条 </w:t>
      </w:r>
      <w:r>
        <w:rPr/>
        <w:t>研究生新生学业奖学金的发放工作由研究生院</w:t>
      </w:r>
    </w:p>
    <w:p>
      <w:pPr>
        <w:spacing w:after="0"/>
        <w:jc w:val="both"/>
        <w:sectPr>
          <w:pgSz w:w="11910" w:h="16840"/>
          <w:pgMar w:header="0" w:footer="1804" w:top="1580" w:bottom="2000" w:left="1420" w:right="1260"/>
        </w:sectPr>
      </w:pPr>
    </w:p>
    <w:p>
      <w:pPr>
        <w:pStyle w:val="BodyText"/>
        <w:rPr>
          <w:sz w:val="20"/>
        </w:rPr>
      </w:pPr>
    </w:p>
    <w:p>
      <w:pPr>
        <w:pStyle w:val="BodyText"/>
        <w:rPr>
          <w:sz w:val="20"/>
        </w:rPr>
      </w:pPr>
    </w:p>
    <w:p>
      <w:pPr>
        <w:pStyle w:val="BodyText"/>
        <w:spacing w:line="326" w:lineRule="auto" w:before="229"/>
        <w:ind w:left="111" w:right="110"/>
      </w:pPr>
      <w:r>
        <w:rPr>
          <w:w w:val="95"/>
        </w:rPr>
        <w:t>（研究生工作部</w:t>
      </w:r>
      <w:r>
        <w:rPr>
          <w:spacing w:val="-137"/>
          <w:w w:val="95"/>
        </w:rPr>
        <w:t>）</w:t>
      </w:r>
      <w:r>
        <w:rPr>
          <w:spacing w:val="-13"/>
          <w:w w:val="95"/>
        </w:rPr>
        <w:t>负责；研究生学年学业奖学金由学院进行初评， </w:t>
      </w:r>
      <w:r>
        <w:rPr>
          <w:spacing w:val="-13"/>
        </w:rPr>
        <w:t>学校审定。</w:t>
      </w:r>
    </w:p>
    <w:p>
      <w:pPr>
        <w:pStyle w:val="BodyText"/>
        <w:spacing w:line="321" w:lineRule="auto"/>
        <w:ind w:left="111" w:right="270" w:firstLine="640"/>
        <w:jc w:val="both"/>
      </w:pPr>
      <w:r>
        <w:rPr>
          <w:rFonts w:ascii="臺灣新細明體" w:eastAsia="臺灣新細明體" w:hint="eastAsia"/>
          <w:b w:val="0"/>
          <w:spacing w:val="19"/>
        </w:rPr>
        <w:t>第十八条 </w:t>
      </w:r>
      <w:r>
        <w:rPr>
          <w:spacing w:val="6"/>
        </w:rPr>
        <w:t>学院研究生学年学业奖学金评审委员会确定获</w:t>
      </w:r>
      <w:r>
        <w:rPr>
          <w:spacing w:val="-9"/>
        </w:rPr>
        <w:t>奖学生名单后，应在本学院内进行不少于 </w:t>
      </w:r>
      <w:r>
        <w:rPr/>
        <w:t>5</w:t>
      </w:r>
      <w:r>
        <w:rPr>
          <w:spacing w:val="-16"/>
        </w:rPr>
        <w:t> 个工作日的公示。公</w:t>
      </w:r>
      <w:r>
        <w:rPr>
          <w:spacing w:val="-15"/>
        </w:rPr>
        <w:t>示无异议后，提交学校研究生学业奖学金评审领导小组审定，审</w:t>
      </w:r>
      <w:r>
        <w:rPr>
          <w:spacing w:val="-6"/>
        </w:rPr>
        <w:t>定结果在全校范围内进行不少于 </w:t>
      </w:r>
      <w:r>
        <w:rPr/>
        <w:t>5</w:t>
      </w:r>
      <w:r>
        <w:rPr>
          <w:spacing w:val="-17"/>
        </w:rPr>
        <w:t> 个工作日的公示。对研究生学</w:t>
      </w:r>
      <w:r>
        <w:rPr>
          <w:spacing w:val="-19"/>
        </w:rPr>
        <w:t>业奖学金评审结果有异议的，可在学院公示阶段向所在学院评审</w:t>
      </w:r>
      <w:r>
        <w:rPr>
          <w:spacing w:val="-10"/>
          <w:w w:val="95"/>
        </w:rPr>
        <w:t>委员会提出申诉，学院评审委员会应及时研究并予以答复。如申</w:t>
      </w:r>
    </w:p>
    <w:p>
      <w:pPr>
        <w:pStyle w:val="BodyText"/>
        <w:spacing w:line="326" w:lineRule="auto"/>
        <w:ind w:left="111" w:right="269"/>
      </w:pPr>
      <w:r>
        <w:rPr>
          <w:spacing w:val="-8"/>
        </w:rPr>
        <w:t>诉人对学院作出的答复仍存在异议，可在学校公示阶段向校研究生学业奖学金评审领导小组提请裁决。</w:t>
      </w:r>
    </w:p>
    <w:p>
      <w:pPr>
        <w:pStyle w:val="BodyText"/>
        <w:spacing w:before="12"/>
        <w:rPr>
          <w:sz w:val="43"/>
        </w:rPr>
      </w:pPr>
    </w:p>
    <w:p>
      <w:pPr>
        <w:pStyle w:val="BodyText"/>
        <w:tabs>
          <w:tab w:pos="1281" w:val="left" w:leader="none"/>
        </w:tabs>
        <w:ind w:right="160"/>
        <w:jc w:val="center"/>
        <w:rPr>
          <w:rFonts w:ascii="黑体" w:eastAsia="黑体" w:hint="eastAsia"/>
        </w:rPr>
      </w:pPr>
      <w:r>
        <w:rPr>
          <w:rFonts w:ascii="黑体" w:eastAsia="黑体" w:hint="eastAsia"/>
        </w:rPr>
        <w:t>第五章</w:t>
        <w:tab/>
        <w:t>奖学金管理与监督</w:t>
      </w:r>
    </w:p>
    <w:p>
      <w:pPr>
        <w:pStyle w:val="BodyText"/>
        <w:spacing w:line="314" w:lineRule="auto" w:before="134"/>
        <w:ind w:left="111" w:right="269" w:firstLine="640"/>
        <w:jc w:val="both"/>
      </w:pPr>
      <w:r>
        <w:rPr>
          <w:rFonts w:ascii="臺灣新細明體" w:eastAsia="臺灣新細明體" w:hint="eastAsia"/>
          <w:b w:val="0"/>
          <w:spacing w:val="19"/>
        </w:rPr>
        <w:t>第十九条 </w:t>
      </w:r>
      <w:r>
        <w:rPr>
          <w:spacing w:val="6"/>
        </w:rPr>
        <w:t>学校根据上级拨款情况将当年研究生学业奖学</w:t>
      </w:r>
      <w:r>
        <w:rPr>
          <w:spacing w:val="-4"/>
        </w:rPr>
        <w:t>金一次性发放给获奖研究生，并将研究生获得学业奖学金情况记入研究生学籍档案。</w:t>
      </w:r>
    </w:p>
    <w:p>
      <w:pPr>
        <w:pStyle w:val="BodyText"/>
        <w:spacing w:line="314" w:lineRule="auto"/>
        <w:ind w:left="111" w:right="269" w:firstLine="640"/>
        <w:jc w:val="both"/>
      </w:pPr>
      <w:r>
        <w:rPr>
          <w:rFonts w:ascii="臺灣新細明體" w:eastAsia="臺灣新細明體" w:hint="eastAsia"/>
          <w:b w:val="0"/>
          <w:spacing w:val="19"/>
        </w:rPr>
        <w:t>第二十条 </w:t>
      </w:r>
      <w:r>
        <w:rPr>
          <w:spacing w:val="6"/>
        </w:rPr>
        <w:t>研究生学业奖学金的评审工作应坚持公正、公</w:t>
      </w:r>
      <w:r>
        <w:rPr>
          <w:spacing w:val="-11"/>
          <w:w w:val="95"/>
        </w:rPr>
        <w:t>平、公开、择优的原则，严格执行国家有关教育法规，杜绝弄虚 </w:t>
      </w:r>
      <w:r>
        <w:rPr>
          <w:spacing w:val="-11"/>
        </w:rPr>
        <w:t>作假。</w:t>
      </w:r>
    </w:p>
    <w:p>
      <w:pPr>
        <w:pStyle w:val="BodyText"/>
        <w:spacing w:before="9"/>
        <w:rPr>
          <w:sz w:val="44"/>
        </w:rPr>
      </w:pPr>
    </w:p>
    <w:p>
      <w:pPr>
        <w:pStyle w:val="BodyText"/>
        <w:tabs>
          <w:tab w:pos="1279" w:val="left" w:leader="none"/>
          <w:tab w:pos="1919" w:val="left" w:leader="none"/>
        </w:tabs>
        <w:ind w:right="157"/>
        <w:jc w:val="center"/>
        <w:rPr>
          <w:rFonts w:ascii="黑体" w:eastAsia="黑体" w:hint="eastAsia"/>
        </w:rPr>
      </w:pPr>
      <w:r>
        <w:rPr>
          <w:rFonts w:ascii="黑体" w:eastAsia="黑体" w:hint="eastAsia"/>
        </w:rPr>
        <w:t>第六章</w:t>
        <w:tab/>
        <w:t>附</w:t>
        <w:tab/>
        <w:t>则</w:t>
      </w:r>
    </w:p>
    <w:p>
      <w:pPr>
        <w:pStyle w:val="BodyText"/>
        <w:spacing w:line="297" w:lineRule="auto" w:before="136"/>
        <w:ind w:left="111" w:right="269" w:firstLine="640"/>
        <w:jc w:val="both"/>
      </w:pPr>
      <w:r>
        <w:rPr>
          <w:rFonts w:ascii="臺灣新細明體" w:eastAsia="臺灣新細明體" w:hint="eastAsia"/>
          <w:b w:val="0"/>
        </w:rPr>
        <w:t>第二十一条 </w:t>
      </w:r>
      <w:r>
        <w:rPr/>
        <w:t>本办法由校长办公会负责解释，具体工作由研究生院（研究生工作部）承担。</w:t>
      </w:r>
    </w:p>
    <w:p>
      <w:pPr>
        <w:spacing w:after="0" w:line="297" w:lineRule="auto"/>
        <w:jc w:val="both"/>
        <w:sectPr>
          <w:pgSz w:w="11910" w:h="16840"/>
          <w:pgMar w:header="0" w:footer="1804" w:top="1580" w:bottom="2000" w:left="1420" w:right="1260"/>
        </w:sectPr>
      </w:pPr>
    </w:p>
    <w:p>
      <w:pPr>
        <w:pStyle w:val="BodyText"/>
        <w:rPr>
          <w:sz w:val="20"/>
        </w:rPr>
      </w:pPr>
    </w:p>
    <w:p>
      <w:pPr>
        <w:pStyle w:val="BodyText"/>
        <w:rPr>
          <w:sz w:val="20"/>
        </w:rPr>
      </w:pPr>
    </w:p>
    <w:p>
      <w:pPr>
        <w:pStyle w:val="BodyText"/>
        <w:tabs>
          <w:tab w:pos="2676" w:val="left" w:leader="none"/>
        </w:tabs>
        <w:spacing w:line="297" w:lineRule="auto" w:before="214"/>
        <w:ind w:left="111" w:right="234" w:firstLine="640"/>
      </w:pPr>
      <w:r>
        <w:rPr>
          <w:rFonts w:ascii="臺灣新細明體" w:eastAsia="臺灣新細明體" w:hint="eastAsia"/>
          <w:b w:val="0"/>
        </w:rPr>
        <w:t>第二十二条</w:t>
        <w:tab/>
      </w:r>
      <w:r>
        <w:rPr/>
        <w:t>本办法自发布之日起施行</w:t>
      </w:r>
      <w:r>
        <w:rPr>
          <w:spacing w:val="-63"/>
        </w:rPr>
        <w:t>，</w:t>
      </w:r>
      <w:r>
        <w:rPr>
          <w:spacing w:val="-60"/>
        </w:rPr>
        <w:t>原</w:t>
      </w:r>
      <w:r>
        <w:rPr/>
        <w:t>《浙江工商大学研究生学业奖学金管理暂行办法</w:t>
      </w:r>
      <w:r>
        <w:rPr>
          <w:spacing w:val="-161"/>
        </w:rPr>
        <w:t>》</w:t>
      </w:r>
      <w:r>
        <w:rPr>
          <w:spacing w:val="-159"/>
        </w:rPr>
        <w:t>（</w:t>
      </w:r>
      <w:r>
        <w:rPr/>
        <w:t>〔2014〕236</w:t>
      </w:r>
      <w:r>
        <w:rPr>
          <w:spacing w:val="-90"/>
        </w:rPr>
        <w:t> </w:t>
      </w:r>
      <w:r>
        <w:rPr/>
        <w:t>号）同时废止。</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14"/>
        </w:rPr>
      </w:pPr>
      <w:r>
        <w:rPr/>
        <w:pict>
          <v:rect style="position:absolute;margin-left:80.25pt;margin-top:11.34125pt;width:430.5pt;height:.6pt;mso-position-horizontal-relative:page;mso-position-vertical-relative:paragraph;z-index:-15727616;mso-wrap-distance-left:0;mso-wrap-distance-right:0" filled="true" fillcolor="#000000" stroked="false">
            <v:fill type="solid"/>
            <w10:wrap type="topAndBottom"/>
          </v:rect>
        </w:pict>
      </w:r>
    </w:p>
    <w:p>
      <w:pPr>
        <w:tabs>
          <w:tab w:pos="5851" w:val="left" w:leader="none"/>
        </w:tabs>
        <w:spacing w:before="215" w:after="120"/>
        <w:ind w:left="391" w:right="0" w:firstLine="0"/>
        <w:jc w:val="left"/>
        <w:rPr>
          <w:sz w:val="28"/>
        </w:rPr>
      </w:pPr>
      <w:r>
        <w:rPr>
          <w:sz w:val="28"/>
        </w:rPr>
        <w:t>浙</w:t>
      </w:r>
      <w:r>
        <w:rPr>
          <w:spacing w:val="-3"/>
          <w:sz w:val="28"/>
        </w:rPr>
        <w:t>江</w:t>
      </w:r>
      <w:r>
        <w:rPr>
          <w:sz w:val="28"/>
        </w:rPr>
        <w:t>工商</w:t>
      </w:r>
      <w:r>
        <w:rPr>
          <w:spacing w:val="-3"/>
          <w:sz w:val="28"/>
        </w:rPr>
        <w:t>大</w:t>
      </w:r>
      <w:r>
        <w:rPr>
          <w:sz w:val="28"/>
        </w:rPr>
        <w:t>学校</w:t>
      </w:r>
      <w:r>
        <w:rPr>
          <w:spacing w:val="-3"/>
          <w:sz w:val="28"/>
        </w:rPr>
        <w:t>长</w:t>
      </w:r>
      <w:r>
        <w:rPr>
          <w:sz w:val="28"/>
        </w:rPr>
        <w:t>办公室</w:t>
        <w:tab/>
        <w:t>2021</w:t>
      </w:r>
      <w:r>
        <w:rPr>
          <w:spacing w:val="-72"/>
          <w:sz w:val="28"/>
        </w:rPr>
        <w:t> </w:t>
      </w:r>
      <w:r>
        <w:rPr>
          <w:sz w:val="28"/>
        </w:rPr>
        <w:t>年</w:t>
      </w:r>
      <w:r>
        <w:rPr>
          <w:spacing w:val="-71"/>
          <w:sz w:val="28"/>
        </w:rPr>
        <w:t> </w:t>
      </w:r>
      <w:r>
        <w:rPr>
          <w:sz w:val="28"/>
        </w:rPr>
        <w:t>8</w:t>
      </w:r>
      <w:r>
        <w:rPr>
          <w:spacing w:val="-72"/>
          <w:sz w:val="28"/>
        </w:rPr>
        <w:t> </w:t>
      </w:r>
      <w:r>
        <w:rPr>
          <w:sz w:val="28"/>
        </w:rPr>
        <w:t>月</w:t>
      </w:r>
      <w:r>
        <w:rPr>
          <w:spacing w:val="-71"/>
          <w:sz w:val="28"/>
        </w:rPr>
        <w:t> </w:t>
      </w:r>
      <w:r>
        <w:rPr>
          <w:sz w:val="28"/>
        </w:rPr>
        <w:t>8</w:t>
      </w:r>
      <w:r>
        <w:rPr>
          <w:spacing w:val="-69"/>
          <w:sz w:val="28"/>
        </w:rPr>
        <w:t> </w:t>
      </w:r>
      <w:r>
        <w:rPr>
          <w:sz w:val="28"/>
        </w:rPr>
        <w:t>日</w:t>
      </w:r>
      <w:r>
        <w:rPr>
          <w:spacing w:val="-3"/>
          <w:sz w:val="28"/>
        </w:rPr>
        <w:t>印</w:t>
      </w:r>
      <w:r>
        <w:rPr>
          <w:sz w:val="28"/>
        </w:rPr>
        <w:t>发</w:t>
      </w:r>
    </w:p>
    <w:p>
      <w:pPr>
        <w:pStyle w:val="BodyText"/>
        <w:spacing w:line="20" w:lineRule="exact"/>
        <w:ind w:left="185"/>
        <w:rPr>
          <w:sz w:val="2"/>
        </w:rPr>
      </w:pPr>
      <w:r>
        <w:rPr>
          <w:sz w:val="2"/>
        </w:rPr>
        <w:pict>
          <v:group style="width:430.5pt;height:.6pt;mso-position-horizontal-relative:char;mso-position-vertical-relative:line" coordorigin="0,0" coordsize="8610,12">
            <v:rect style="position:absolute;left:0;top:0;width:8610;height:12" filled="true" fillcolor="#000000" stroked="false">
              <v:fill type="solid"/>
            </v:rect>
          </v:group>
        </w:pict>
      </w:r>
      <w:r>
        <w:rPr>
          <w:sz w:val="2"/>
        </w:rPr>
      </w:r>
    </w:p>
    <w:sectPr>
      <w:pgSz w:w="11910" w:h="16840"/>
      <w:pgMar w:header="0" w:footer="1804" w:top="1580" w:bottom="2000" w:left="142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臺灣新細明體">
    <w:altName w:val="臺灣新細明體"/>
    <w:charset w:val="0"/>
    <w:family w:val="swiss"/>
    <w:pitch w:val="variable"/>
  </w:font>
  <w:font w:name="方正小标宋简体">
    <w:altName w:val="方正小标宋简体"/>
    <w:charset w:val="86"/>
    <w:family w:val="auto"/>
    <w:pitch w:val="variable"/>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8.799988pt;margin-top:740.694824pt;width:54pt;height:16.2pt;mso-position-horizontal-relative:page;mso-position-vertical-relative:page;z-index:-15896064" type="#_x0000_t202" filled="false" stroked="false">
          <v:textbox inset="0,0,0,0">
            <w:txbxContent>
              <w:p>
                <w:pPr>
                  <w:spacing w:line="323" w:lineRule="exact" w:before="0"/>
                  <w:ind w:left="20" w:right="0" w:firstLine="0"/>
                  <w:jc w:val="left"/>
                  <w:rPr>
                    <w:sz w:val="28"/>
                  </w:rPr>
                </w:pPr>
                <w:r>
                  <w:rPr>
                    <w:sz w:val="28"/>
                  </w:rPr>
                  <w:t>— </w:t>
                </w:r>
                <w:r>
                  <w:rPr/>
                  <w:fldChar w:fldCharType="begin"/>
                </w:r>
                <w:r>
                  <w:rPr>
                    <w:sz w:val="28"/>
                  </w:rPr>
                  <w:instrText> PAGE </w:instrText>
                </w:r>
                <w:r>
                  <w:rPr/>
                  <w:fldChar w:fldCharType="separate"/>
                </w:r>
                <w:r>
                  <w:rPr/>
                  <w:t>1</w:t>
                </w:r>
                <w:r>
                  <w:rPr/>
                  <w:fldChar w:fldCharType="end"/>
                </w:r>
                <w:r>
                  <w:rPr>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5.558998pt;margin-top:740.694824pt;width:54.1pt;height:16.2pt;mso-position-horizontal-relative:page;mso-position-vertical-relative:page;z-index:-15895552" type="#_x0000_t202" filled="false" stroked="false">
          <v:textbox inset="0,0,0,0">
            <w:txbxContent>
              <w:p>
                <w:pPr>
                  <w:spacing w:line="323" w:lineRule="exact" w:before="0"/>
                  <w:ind w:left="20" w:right="0" w:firstLine="0"/>
                  <w:jc w:val="left"/>
                  <w:rPr>
                    <w:sz w:val="28"/>
                  </w:rPr>
                </w:pPr>
                <w:r>
                  <w:rPr>
                    <w:sz w:val="28"/>
                  </w:rPr>
                  <w:t>— </w:t>
                </w:r>
                <w:r>
                  <w:rPr/>
                  <w:fldChar w:fldCharType="begin"/>
                </w:r>
                <w:r>
                  <w:rPr>
                    <w:sz w:val="28"/>
                  </w:rPr>
                  <w:instrText> PAGE </w:instrText>
                </w:r>
                <w:r>
                  <w:rPr/>
                  <w:fldChar w:fldCharType="separate"/>
                </w:r>
                <w:r>
                  <w:rPr/>
                  <w:t>2</w:t>
                </w:r>
                <w:r>
                  <w:rPr/>
                  <w:fldChar w:fldCharType="end"/>
                </w:r>
                <w:r>
                  <w:rPr>
                    <w:sz w:val="28"/>
                  </w:rPr>
                  <w:t> —</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32"/>
      <w:szCs w:val="32"/>
      <w:lang w:val="en-US" w:eastAsia="zh-CN" w:bidi="ar-SA"/>
    </w:rPr>
  </w:style>
  <w:style w:styleId="Heading1" w:type="paragraph">
    <w:name w:val="Heading 1"/>
    <w:basedOn w:val="Normal"/>
    <w:uiPriority w:val="1"/>
    <w:qFormat/>
    <w:pPr>
      <w:spacing w:line="663" w:lineRule="exact"/>
      <w:ind w:right="160"/>
      <w:jc w:val="center"/>
      <w:outlineLvl w:val="1"/>
    </w:pPr>
    <w:rPr>
      <w:rFonts w:ascii="方正小标宋简体" w:hAnsi="方正小标宋简体" w:eastAsia="方正小标宋简体" w:cs="方正小标宋简体"/>
      <w:sz w:val="44"/>
      <w:szCs w:val="4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ind w:left="523"/>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2021-08-12T07:09:59Z</dcterms:created>
  <dcterms:modified xsi:type="dcterms:W3CDTF">2021-08-12T07:09:59Z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Xpdf - https://xpdf.net</vt:lpwstr>
  </property>
</Properties>
</file>